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E40AF" w:val="clear"/>
        <w:spacing w:before="200" w:after="80"/>
        <w:jc w:val="center"/>
      </w:pPr>
      <w:r>
        <w:rPr>
          <w:b/>
          <w:bCs/>
          <w:caps/>
          <w:color w:val="FFFFFF"/>
          <w:sz w:val="20"/>
          <w:szCs w:val="20"/>
        </w:rPr>
        <w:t xml:space="preserve">Unit Outline</w:t>
      </w:r>
    </w:p>
    <w:p>
      <w:pPr>
        <w:spacing w:before="100" w:after="100"/>
        <w:jc w:val="center"/>
      </w:pPr>
      <w:r>
        <w:rPr>
          <w:caps/>
          <w:color w:val="64748B"/>
          <w:sz w:val="24"/>
          <w:szCs w:val="24"/>
        </w:rPr>
        <w:t xml:space="preserve">History | Year 10</w:t>
      </w:r>
    </w:p>
    <w:p>
      <w:pPr>
        <w:spacing w:after="200"/>
        <w:jc w:val="center"/>
      </w:pPr>
      <w:r>
        <w:rPr>
          <w:b/>
          <w:bCs/>
          <w:color w:val="1E40AF"/>
          <w:sz w:val="48"/>
          <w:szCs w:val="48"/>
        </w:rPr>
        <w:t xml:space="preserve">Work, Rules and Daily Life: Australia's Wartime Home Front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tcBorders>
              <w:top w:val="single" w:color="CBD5E1" w:sz="1"/>
              <w:left w:val="single" w:color="CBD5E1" w:sz="1"/>
              <w:bottom w:val="single" w:color="CBD5E1" w:sz="1"/>
              <w:right w:val="single" w:color="CBD5E1" w:sz="1"/>
            </w:tcBorders>
            <w:shd w:fill="E0F2FE" w:val="clear"/>
            <w:tcMar>
              <w:top w:type="dxa" w:w="100"/>
              <w:left w:type="dxa" w:w="100"/>
              <w:bottom w:type="dxa" w:w="100"/>
              <w:right w:type="dxa" w:w="100"/>
            </w:tcMar>
          </w:tcPr>
          <w:p>
            <w:pPr>
              <w:jc w:val="center"/>
            </w:pPr>
            <w:r>
              <w:rPr>
                <w:color w:val="64748B"/>
                <w:sz w:val="20"/>
                <w:szCs w:val="20"/>
              </w:rPr>
              <w:t xml:space="preserve">Term </w:t>
            </w:r>
            <w:r>
              <w:rPr>
                <w:b/>
                <w:bCs/>
                <w:color w:val="0369A1"/>
                <w:sz w:val="24"/>
                <w:szCs w:val="24"/>
              </w:rPr>
              <w:t xml:space="preserve">1</w:t>
            </w:r>
          </w:p>
        </w:tc>
        <w:tc>
          <w:tcPr>
            <w:tcW w:type="pct" w:w="25%"/>
            <w:tcBorders>
              <w:top w:val="single" w:color="CBD5E1" w:sz="1"/>
              <w:left w:val="single" w:color="CBD5E1" w:sz="1"/>
              <w:bottom w:val="single" w:color="CBD5E1" w:sz="1"/>
              <w:right w:val="single" w:color="CBD5E1" w:sz="1"/>
            </w:tcBorders>
            <w:shd w:fill="F8FAFC" w:val="clear"/>
            <w:tcMar>
              <w:top w:type="dxa" w:w="100"/>
              <w:left w:type="dxa" w:w="100"/>
              <w:bottom w:type="dxa" w:w="100"/>
              <w:right w:type="dxa" w:w="100"/>
            </w:tcMar>
          </w:tcPr>
          <w:p>
            <w:pPr>
              <w:jc w:val="center"/>
            </w:pPr>
            <w:r>
              <w:rPr>
                <w:color w:val="64748B"/>
                <w:sz w:val="20"/>
                <w:szCs w:val="20"/>
              </w:rPr>
              <w:t xml:space="preserve">Weeks </w:t>
            </w:r>
            <w:r>
              <w:rPr>
                <w:b/>
                <w:bCs/>
                <w:color w:val="1E293B"/>
                <w:sz w:val="24"/>
                <w:szCs w:val="24"/>
              </w:rPr>
              <w:t xml:space="preserve">1-4</w:t>
            </w:r>
          </w:p>
        </w:tc>
        <w:tc>
          <w:tcPr>
            <w:tcW w:type="pct" w:w="25%"/>
            <w:tcBorders>
              <w:top w:val="single" w:color="CBD5E1" w:sz="1"/>
              <w:left w:val="single" w:color="CBD5E1" w:sz="1"/>
              <w:bottom w:val="single" w:color="CBD5E1" w:sz="1"/>
              <w:right w:val="single" w:color="CBD5E1" w:sz="1"/>
            </w:tcBorders>
            <w:shd w:fill="F8FAFC" w:val="clear"/>
            <w:tcMar>
              <w:top w:type="dxa" w:w="100"/>
              <w:left w:type="dxa" w:w="100"/>
              <w:bottom w:type="dxa" w:w="100"/>
              <w:right w:type="dxa" w:w="100"/>
            </w:tcMar>
          </w:tcPr>
          <w:p>
            <w:pPr>
              <w:jc w:val="center"/>
            </w:pPr>
            <w:r>
              <w:rPr>
                <w:color w:val="64748B"/>
                <w:sz w:val="20"/>
                <w:szCs w:val="20"/>
              </w:rPr>
              <w:t xml:space="preserve">Lessons </w:t>
            </w:r>
            <w:r>
              <w:rPr>
                <w:b/>
                <w:bCs/>
                <w:color w:val="059669"/>
                <w:sz w:val="24"/>
                <w:szCs w:val="24"/>
              </w:rPr>
              <w:t xml:space="preserve">8</w:t>
            </w:r>
          </w:p>
        </w:tc>
        <w:tc>
          <w:tcPr>
            <w:tcW w:type="pct" w:w="25%"/>
            <w:tcBorders>
              <w:top w:val="single" w:color="CBD5E1" w:sz="1"/>
              <w:left w:val="single" w:color="CBD5E1" w:sz="1"/>
              <w:bottom w:val="single" w:color="CBD5E1" w:sz="1"/>
              <w:right w:val="single" w:color="CBD5E1" w:sz="1"/>
            </w:tcBorders>
            <w:shd w:fill="F8FAFC" w:val="clear"/>
            <w:tcMar>
              <w:top w:type="dxa" w:w="100"/>
              <w:left w:type="dxa" w:w="100"/>
              <w:bottom w:type="dxa" w:w="100"/>
              <w:right w:type="dxa" w:w="100"/>
            </w:tcMar>
          </w:tcPr>
          <w:p>
            <w:pPr>
              <w:jc w:val="center"/>
            </w:pPr>
            <w:r>
              <w:rPr>
                <w:color w:val="64748B"/>
                <w:sz w:val="20"/>
                <w:szCs w:val="20"/>
              </w:rPr>
              <w:t xml:space="preserve">Assessments </w:t>
            </w:r>
            <w:r>
              <w:rPr>
                <w:b/>
                <w:bCs/>
                <w:color w:val="F59E0B"/>
                <w:sz w:val="24"/>
                <w:szCs w:val="24"/>
              </w:rPr>
              <w:t xml:space="preserve">1</w:t>
            </w:r>
          </w:p>
        </w:tc>
      </w:tr>
    </w:tbl>
    <w:p>
      <w:pPr>
        <w:spacing w:after="300"/>
      </w:pPr>
    </w:p>
    <w:p>
      <w:pPr>
        <w:pBdr>
          <w:bottom w:val="single" w:color="1E40AF" w:sz="12"/>
        </w:pBdr>
        <w:spacing w:before="400" w:after="200"/>
      </w:pPr>
      <w:r>
        <w:rPr>
          <w:b/>
          <w:bCs/>
          <w:color w:val="1E40AF"/>
          <w:sz w:val="28"/>
          <w:szCs w:val="28"/>
        </w:rPr>
        <w:t xml:space="preserve">📋 Unit Overview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CBD5E1" w:sz="1"/>
              <w:left w:val="single" w:color="CBD5E1" w:sz="1"/>
              <w:bottom w:val="single" w:color="CBD5E1" w:sz="1"/>
              <w:right w:val="single" w:color="CBD5E1" w:sz="1"/>
            </w:tcBorders>
            <w:shd w:fill="EFF6FF" w:val="clear"/>
            <w:tcMar>
              <w:top w:type="dxa" w:w="144"/>
              <w:left w:type="dxa" w:w="215"/>
              <w:bottom w:type="dxa" w:w="144"/>
              <w:right w:type="dxa" w:w="215"/>
            </w:tcMar>
          </w:tcPr>
          <w:p>
            <w:pPr>
              <w:spacing w:before="100" w:after="100"/>
            </w:pPr>
            <w:r>
              <w:rPr>
                <w:color w:val="1E293B"/>
                <w:sz w:val="22"/>
                <w:szCs w:val="22"/>
              </w:rPr>
              <w:t xml:space="preserve">Students investigate how the Second World War changed women's work and expanded government control over everyday life in Australia between 1939 and 1945. They connect international developments with civilian experiences, examine unequal opportunities and continuing responsibilities, and use remembered source evidence to develop a qualified historical judgement.</w:t>
            </w:r>
          </w:p>
        </w:tc>
      </w:tr>
    </w:tbl>
    <w:p>
      <w:pPr>
        <w:spacing w:after="200"/>
      </w:pPr>
    </w:p>
    <w:p>
      <w:pPr>
        <w:spacing w:after="200"/>
      </w:pPr>
      <w:r>
        <w:rPr>
          <w:b/>
          <w:bCs/>
          <w:sz w:val="20"/>
          <w:szCs w:val="20"/>
        </w:rPr>
        <w:t xml:space="preserve">Planned for: </w:t>
      </w:r>
      <w:r>
        <w:rPr>
          <w:sz w:val="20"/>
          <w:szCs w:val="20"/>
        </w:rPr>
        <w:t xml:space="preserve">no student devices · reliable internet · classroom · 3 items of equipment · no trips</w:t>
      </w:r>
    </w:p>
    <w:p>
      <w:pPr>
        <w:pBdr>
          <w:bottom w:val="single" w:color="1E40AF" w:sz="12"/>
        </w:pBdr>
        <w:spacing w:before="400" w:after="200"/>
      </w:pPr>
      <w:r>
        <w:rPr>
          <w:b/>
          <w:bCs/>
          <w:color w:val="1E40AF"/>
          <w:sz w:val="28"/>
          <w:szCs w:val="28"/>
        </w:rPr>
        <w:t xml:space="preserve">🎯 Rationale</w:t>
      </w:r>
    </w:p>
    <w:p>
      <w:pPr>
        <w:spacing w:after="200"/>
        <w:ind w:left="288" w:right="288"/>
      </w:pPr>
      <w:r>
        <w:rPr>
          <w:i/>
          <w:iCs/>
          <w:color w:val="1E293B"/>
          <w:sz w:val="22"/>
          <w:szCs w:val="22"/>
        </w:rPr>
        <w:t xml:space="preserve">This focused eight-lesson unit builds the historical knowledge and evidence-based writing needed for an individual, supervised explanation. Explicit source modelling, short written practice and a separate First World War transfer exercise support students with mixed confidence without drafting the final assessment response.</w:t>
      </w:r>
    </w:p>
    <w:p>
      <w:pPr>
        <w:pBdr>
          <w:bottom w:val="single" w:color="1E40AF" w:sz="12"/>
        </w:pBdr>
        <w:spacing w:before="400" w:after="200"/>
      </w:pPr>
      <w:r>
        <w:rPr>
          <w:b/>
          <w:bCs/>
          <w:color w:val="1E40AF"/>
          <w:sz w:val="28"/>
          <w:szCs w:val="28"/>
        </w:rPr>
        <w:t xml:space="preserve">🎓 Curriculum Standards</w:t>
      </w:r>
    </w:p>
    <w:p>
      <w:pPr>
        <w:spacing w:after="200"/>
      </w:pPr>
      <w:r>
        <w:rPr>
          <w:i/>
          <w:iCs/>
          <w:color w:val="64748B"/>
          <w:sz w:val="22"/>
          <w:szCs w:val="22"/>
        </w:rPr>
        <w:t xml:space="preserve">This unit addresses 2 Curriculum Standards from the saved curriculum source: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15%"/>
            <w:shd w:fill="1E40AF" w:val="clear"/>
            <w:tcMar>
              <w:top w:type="dxa" w:w="80"/>
              <w:left w:type="dxa" w:w="80"/>
              <w:bottom w:type="dxa" w:w="80"/>
              <w:right w:type="dxa" w:w="80"/>
            </w:tcMar>
            <w:vAlign w:val="center"/>
          </w:tcPr>
          <w:p>
            <w:pPr>
              <w:jc w:val="center"/>
            </w:pPr>
            <w:r>
              <w:rPr>
                <w:b/>
                <w:bCs/>
                <w:color w:val="FFFFFF"/>
                <w:sz w:val="20"/>
                <w:szCs w:val="20"/>
              </w:rPr>
              <w:t xml:space="preserve">ASHASHIS1003</w:t>
            </w:r>
          </w:p>
        </w:tc>
        <w:tc>
          <w:tcPr>
            <w:tcW w:type="pct" w:w="85%"/>
            <w:shd w:fill="EFF6FF" w:val="clear"/>
            <w:tcMar>
              <w:top w:type="dxa" w:w="80"/>
              <w:left w:type="dxa" w:w="120"/>
              <w:bottom w:type="dxa" w:w="80"/>
              <w:right w:type="dxa" w:w="80"/>
            </w:tcMar>
          </w:tcPr>
          <w:p>
            <w:r>
              <w:rPr>
                <w:color w:val="1E293B"/>
                <w:sz w:val="21"/>
                <w:szCs w:val="21"/>
              </w:rPr>
              <w:t xml:space="preserve">They describe social, cultural, economic and/or political aspects, including international developments, related to the changes and continuities in Australian society over this historical period.</w:t>
            </w:r>
          </w:p>
        </w:tc>
      </w:tr>
    </w:tbl>
    <w:p>
      <w:pPr>
        <w:spacing w:after="1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15%"/>
            <w:shd w:fill="1E40AF" w:val="clear"/>
            <w:tcMar>
              <w:top w:type="dxa" w:w="80"/>
              <w:left w:type="dxa" w:w="80"/>
              <w:bottom w:type="dxa" w:w="80"/>
              <w:right w:type="dxa" w:w="80"/>
            </w:tcMar>
            <w:vAlign w:val="center"/>
          </w:tcPr>
          <w:p>
            <w:pPr>
              <w:jc w:val="center"/>
            </w:pPr>
            <w:r>
              <w:rPr>
                <w:b/>
                <w:bCs/>
                <w:color w:val="FFFFFF"/>
                <w:sz w:val="20"/>
                <w:szCs w:val="20"/>
              </w:rPr>
              <w:t xml:space="preserve">ASHASHIS1012</w:t>
            </w:r>
          </w:p>
        </w:tc>
        <w:tc>
          <w:tcPr>
            <w:tcW w:type="pct" w:w="85%"/>
            <w:shd w:fill="EFF6FF" w:val="clear"/>
            <w:tcMar>
              <w:top w:type="dxa" w:w="80"/>
              <w:left w:type="dxa" w:w="120"/>
              <w:bottom w:type="dxa" w:w="80"/>
              <w:right w:type="dxa" w:w="80"/>
            </w:tcMar>
          </w:tcPr>
          <w:p>
            <w:r>
              <w:rPr>
                <w:color w:val="1E293B"/>
                <w:sz w:val="21"/>
                <w:szCs w:val="21"/>
              </w:rPr>
              <w:t xml:space="preserve">Students use historical knowledge, concepts and terms to develop descriptions, explanations and historical arguments that synthesise evidence from sources.</w:t>
            </w:r>
          </w:p>
        </w:tc>
      </w:tr>
    </w:tbl>
    <w:p>
      <w:pPr>
        <w:spacing w:after="100"/>
      </w:pPr>
    </w:p>
    <w:p>
      <w:pPr>
        <w:pBdr>
          <w:bottom w:val="single" w:color="1E40AF" w:sz="12"/>
        </w:pBdr>
        <w:spacing w:before="400" w:after="200"/>
      </w:pPr>
      <w:r>
        <w:rPr>
          <w:b/>
          <w:bCs/>
          <w:color w:val="1E40AF"/>
          <w:sz w:val="28"/>
          <w:szCs w:val="28"/>
        </w:rPr>
        <w:t xml:space="preserve">📑 Curriculum Contents by Strand</w:t>
      </w:r>
    </w:p>
    <w:p>
      <w:pPr>
        <w:spacing w:before="200" w:after="100"/>
        <w:ind w:left="144"/>
      </w:pPr>
      <w:r>
        <w:rPr>
          <w:b/>
          <w:bCs/>
          <w:color w:val="475569"/>
          <w:sz w:val="24"/>
          <w:szCs w:val="24"/>
        </w:rPr>
        <w:t xml:space="preserve">Knowledge and understanding</w:t>
      </w:r>
      <w:r>
        <w:rPr>
          <w:i/>
          <w:iCs/>
          <w:color w:val="64748B"/>
          <w:sz w:val="22"/>
          <w:szCs w:val="22"/>
        </w:rPr>
        <w:t xml:space="preserve">  —  Second World War</w:t>
      </w:r>
    </w:p>
    <w:p>
      <w:pPr>
        <w:spacing w:after="80"/>
        <w:ind w:left="431"/>
      </w:pPr>
      <w:r>
        <w:rPr>
          <w:b/>
          <w:bCs/>
          <w:color w:val="1E40AF"/>
          <w:sz w:val="20"/>
          <w:szCs w:val="20"/>
        </w:rPr>
        <w:t xml:space="preserve">AC9HH10K04</w:t>
      </w:r>
      <w:r>
        <w:rPr>
          <w:color w:val="1E293B"/>
          <w:sz w:val="20"/>
          <w:szCs w:val="20"/>
        </w:rPr>
        <w:t xml:space="preserve">  the effects of the Second World War, with a particular emphasis on the continuities and changes on the Australian home front, such as the changing roles of women and First Nations Australians, and the use of wartime government controls</w:t>
      </w:r>
    </w:p>
    <w:p>
      <w:pPr>
        <w:spacing w:before="200" w:after="100"/>
        <w:ind w:left="144"/>
      </w:pPr>
      <w:r>
        <w:rPr>
          <w:b/>
          <w:bCs/>
          <w:color w:val="475569"/>
          <w:sz w:val="24"/>
          <w:szCs w:val="24"/>
        </w:rPr>
        <w:t xml:space="preserve">Skills</w:t>
      </w:r>
      <w:r>
        <w:rPr>
          <w:i/>
          <w:iCs/>
          <w:color w:val="64748B"/>
          <w:sz w:val="22"/>
          <w:szCs w:val="22"/>
        </w:rPr>
        <w:t xml:space="preserve">  —  Communicating</w:t>
      </w:r>
    </w:p>
    <w:p>
      <w:pPr>
        <w:spacing w:after="80"/>
        <w:ind w:left="431"/>
      </w:pPr>
      <w:r>
        <w:rPr>
          <w:b/>
          <w:bCs/>
          <w:color w:val="1E40AF"/>
          <w:sz w:val="20"/>
          <w:szCs w:val="20"/>
        </w:rPr>
        <w:t xml:space="preserve">AC9HH10S08</w:t>
      </w:r>
      <w:r>
        <w:rPr>
          <w:color w:val="1E293B"/>
          <w:sz w:val="20"/>
          <w:szCs w:val="20"/>
        </w:rPr>
        <w:t xml:space="preserve">  create descriptions, explanations and historical arguments, using historical knowledge, concepts and terms that incorporate and acknowledge evidence from sources</w:t>
      </w:r>
    </w:p>
    <w:p>
      <w:pPr>
        <w:spacing w:after="100"/>
      </w:pPr>
    </w:p>
    <w:p>
      <w:pPr>
        <w:pBdr>
          <w:bottom w:val="single" w:color="1E40AF" w:sz="12"/>
        </w:pBdr>
        <w:spacing w:before="400" w:after="200"/>
      </w:pPr>
      <w:r>
        <w:rPr>
          <w:b/>
          <w:bCs/>
          <w:color w:val="1E40AF"/>
          <w:sz w:val="28"/>
          <w:szCs w:val="28"/>
        </w:rPr>
        <w:t xml:space="preserve">💡 Key Learnings</w:t>
      </w:r>
    </w:p>
    <w:p>
      <w:pPr>
        <w:spacing w:after="120"/>
        <w:ind w:left="431"/>
      </w:pPr>
      <w:r>
        <w:rPr>
          <w:color w:val="F59E0B"/>
          <w:sz w:val="20"/>
          <w:szCs w:val="20"/>
        </w:rPr>
        <w:t xml:space="preserve">●  </w:t>
      </w:r>
      <w:r>
        <w:rPr>
          <w:color w:val="1E293B"/>
          <w:sz w:val="22"/>
          <w:szCs w:val="22"/>
        </w:rPr>
        <w:t xml:space="preserve">Australia's entry into war in September 1939, Japan's entry in December 1941 and the fall of Singapore in February 1942 connected international developments with increasing mobilisation at home.</w:t>
      </w:r>
    </w:p>
    <w:p>
      <w:pPr>
        <w:spacing w:after="120"/>
        <w:ind w:left="431"/>
      </w:pPr>
      <w:r>
        <w:rPr>
          <w:color w:val="F59E0B"/>
          <w:sz w:val="20"/>
          <w:szCs w:val="20"/>
        </w:rPr>
        <w:t xml:space="preserve">●  </w:t>
      </w:r>
      <w:r>
        <w:rPr>
          <w:color w:val="1E293B"/>
          <w:sz w:val="22"/>
          <w:szCs w:val="22"/>
        </w:rPr>
        <w:t xml:space="preserve">Women's munitions employment and military support roles expanded, while unequal wages, domestic responsibilities and gendered expectations continued.</w:t>
      </w:r>
    </w:p>
    <w:p>
      <w:pPr>
        <w:spacing w:after="120"/>
        <w:ind w:left="431"/>
      </w:pPr>
      <w:r>
        <w:rPr>
          <w:color w:val="F59E0B"/>
          <w:sz w:val="20"/>
          <w:szCs w:val="20"/>
        </w:rPr>
        <w:t xml:space="preserve">●  </w:t>
      </w:r>
      <w:r>
        <w:rPr>
          <w:color w:val="1E293B"/>
          <w:sz w:val="22"/>
          <w:szCs w:val="22"/>
        </w:rPr>
        <w:t xml:space="preserve">The National Security Act 1939 enabled extensive Commonwealth regulations; rationing and labour direction altered shopping, household routines and employment choices.</w:t>
      </w:r>
    </w:p>
    <w:p>
      <w:pPr>
        <w:spacing w:after="120"/>
        <w:ind w:left="431"/>
      </w:pPr>
      <w:r>
        <w:rPr>
          <w:color w:val="F59E0B"/>
          <w:sz w:val="20"/>
          <w:szCs w:val="20"/>
        </w:rPr>
        <w:t xml:space="preserve">●  </w:t>
      </w:r>
      <w:r>
        <w:rPr>
          <w:color w:val="1E293B"/>
          <w:sz w:val="22"/>
          <w:szCs w:val="22"/>
        </w:rPr>
        <w:t xml:space="preserve">First Nations women's work and community contributions occurred alongside continuing racial discrimination and restrictions.</w:t>
      </w:r>
    </w:p>
    <w:p>
      <w:pPr>
        <w:spacing w:after="120"/>
        <w:ind w:left="431"/>
      </w:pPr>
      <w:r>
        <w:rPr>
          <w:color w:val="F59E0B"/>
          <w:sz w:val="20"/>
          <w:szCs w:val="20"/>
        </w:rPr>
        <w:t xml:space="preserve">●  </w:t>
      </w:r>
      <w:r>
        <w:rPr>
          <w:color w:val="1E293B"/>
          <w:sz w:val="22"/>
          <w:szCs w:val="22"/>
        </w:rPr>
        <w:t xml:space="preserve">Historical explanations connect social, economic, cultural and political aspects through causation, change and continuity.</w:t>
      </w:r>
    </w:p>
    <w:p>
      <w:pPr>
        <w:spacing w:after="120"/>
        <w:ind w:left="431"/>
      </w:pPr>
      <w:r>
        <w:rPr>
          <w:color w:val="F59E0B"/>
          <w:sz w:val="20"/>
          <w:szCs w:val="20"/>
        </w:rPr>
        <w:t xml:space="preserve">●  </w:t>
      </w:r>
      <w:r>
        <w:rPr>
          <w:color w:val="1E293B"/>
          <w:sz w:val="22"/>
          <w:szCs w:val="22"/>
        </w:rPr>
        <w:t xml:space="preserve">A defensible historical argument synthesises acknowledged source evidence, tests a competing interpretation and reaches a qualified judgement.</w:t>
      </w:r>
    </w:p>
    <w:p>
      <w:pPr>
        <w:spacing w:after="100"/>
      </w:pPr>
    </w:p>
    <w:p>
      <w:pPr>
        <w:pBdr>
          <w:bottom w:val="single" w:color="1E40AF" w:sz="12"/>
        </w:pBdr>
        <w:spacing w:before="400" w:after="200"/>
      </w:pPr>
      <w:r>
        <w:rPr>
          <w:b/>
          <w:bCs/>
          <w:color w:val="1E40AF"/>
          <w:sz w:val="28"/>
          <w:szCs w:val="28"/>
        </w:rPr>
        <w:t xml:space="preserve">✅ Learning Intentions &amp; Success Criteria</w:t>
      </w:r>
    </w:p>
    <w:p>
      <w:pPr>
        <w:spacing w:before="100" w:after="150"/>
      </w:pPr>
      <w:r>
        <w:rPr>
          <w:b/>
          <w:bCs/>
          <w:color w:val="475569"/>
          <w:sz w:val="24"/>
          <w:szCs w:val="24"/>
        </w:rPr>
        <w:t xml:space="preserve">Learning Intentions:</w:t>
      </w:r>
    </w:p>
    <w:p>
      <w:pPr>
        <w:spacing w:after="120"/>
        <w:ind w:left="431"/>
      </w:pPr>
      <w:r>
        <w:rPr>
          <w:color w:val="1E40AF"/>
          <w:sz w:val="20"/>
          <w:szCs w:val="20"/>
        </w:rPr>
        <w:t xml:space="preserve">●  </w:t>
      </w:r>
      <w:r>
        <w:rPr>
          <w:color w:val="1E293B"/>
          <w:sz w:val="22"/>
          <w:szCs w:val="22"/>
        </w:rPr>
        <w:t xml:space="preserve">We are learning to explain changes and continuities in Australian home-front life through women's work, government controls and international developments.</w:t>
      </w:r>
    </w:p>
    <w:p>
      <w:pPr>
        <w:spacing w:after="120"/>
        <w:ind w:left="431"/>
      </w:pPr>
      <w:r>
        <w:rPr>
          <w:color w:val="1E40AF"/>
          <w:sz w:val="20"/>
          <w:szCs w:val="20"/>
        </w:rPr>
        <w:t xml:space="preserve">●  </w:t>
      </w:r>
      <w:r>
        <w:rPr>
          <w:color w:val="1E293B"/>
          <w:sz w:val="22"/>
          <w:szCs w:val="22"/>
        </w:rPr>
        <w:t xml:space="preserve">We are learning to synthesise and acknowledge historical evidence when developing descriptions, explanations and arguments.</w:t>
      </w:r>
    </w:p>
    <w:p>
      <w:pPr>
        <w:spacing w:after="120"/>
        <w:ind w:left="431"/>
      </w:pPr>
      <w:r>
        <w:rPr>
          <w:color w:val="1E40AF"/>
          <w:sz w:val="20"/>
          <w:szCs w:val="20"/>
        </w:rPr>
        <w:t xml:space="preserve">●  </w:t>
      </w:r>
      <w:r>
        <w:rPr>
          <w:color w:val="1E293B"/>
          <w:sz w:val="22"/>
          <w:szCs w:val="22"/>
        </w:rPr>
        <w:t xml:space="preserve">We are learning to evaluate a competing interpretation and write an independent, qualified historical explanation.</w:t>
      </w:r>
    </w:p>
    <w:p>
      <w:pPr>
        <w:spacing w:before="200" w:after="150"/>
      </w:pPr>
      <w:r>
        <w:rPr>
          <w:b/>
          <w:bCs/>
          <w:color w:val="475569"/>
          <w:sz w:val="24"/>
          <w:szCs w:val="24"/>
        </w:rPr>
        <w:t xml:space="preserve">Success Criteria:</w:t>
      </w:r>
    </w:p>
    <w:p>
      <w:pPr>
        <w:spacing w:after="120"/>
        <w:ind w:left="431"/>
      </w:pPr>
      <w:r>
        <w:rPr>
          <w:b/>
          <w:bCs/>
          <w:color w:val="059669"/>
          <w:sz w:val="22"/>
          <w:szCs w:val="22"/>
        </w:rPr>
        <w:t xml:space="preserve">✓  </w:t>
      </w:r>
      <w:r>
        <w:rPr>
          <w:color w:val="1E293B"/>
          <w:sz w:val="22"/>
          <w:szCs w:val="22"/>
        </w:rPr>
        <w:t xml:space="preserve">I can accurately connect women's work and government controls with overseas wartime developments.</w:t>
      </w:r>
    </w:p>
    <w:p>
      <w:pPr>
        <w:spacing w:after="120"/>
        <w:ind w:left="431"/>
      </w:pPr>
      <w:r>
        <w:rPr>
          <w:b/>
          <w:bCs/>
          <w:color w:val="059669"/>
          <w:sz w:val="22"/>
          <w:szCs w:val="22"/>
        </w:rPr>
        <w:t xml:space="preserve">✓  </w:t>
      </w:r>
      <w:r>
        <w:rPr>
          <w:color w:val="1E293B"/>
          <w:sz w:val="22"/>
          <w:szCs w:val="22"/>
        </w:rPr>
        <w:t xml:space="preserve">I can explain what changed and what continued, recognising unequal experiences.</w:t>
      </w:r>
    </w:p>
    <w:p>
      <w:pPr>
        <w:spacing w:after="120"/>
        <w:ind w:left="431"/>
      </w:pPr>
      <w:r>
        <w:rPr>
          <w:b/>
          <w:bCs/>
          <w:color w:val="059669"/>
          <w:sz w:val="22"/>
          <w:szCs w:val="22"/>
        </w:rPr>
        <w:t xml:space="preserve">✓  </w:t>
      </w:r>
      <w:r>
        <w:rPr>
          <w:color w:val="1E293B"/>
          <w:sz w:val="22"/>
          <w:szCs w:val="22"/>
        </w:rPr>
        <w:t xml:space="preserve">I can combine evidence from class sources and acknowledge it by name or description.</w:t>
      </w:r>
    </w:p>
    <w:p>
      <w:pPr>
        <w:spacing w:after="120"/>
        <w:ind w:left="431"/>
      </w:pPr>
      <w:r>
        <w:rPr>
          <w:b/>
          <w:bCs/>
          <w:color w:val="059669"/>
          <w:sz w:val="22"/>
          <w:szCs w:val="22"/>
        </w:rPr>
        <w:t xml:space="preserve">✓  </w:t>
      </w:r>
      <w:r>
        <w:rPr>
          <w:color w:val="1E293B"/>
          <w:sz w:val="22"/>
          <w:szCs w:val="22"/>
        </w:rPr>
        <w:t xml:space="preserve">I can write a 400–500-word explanation with three connected headed sections, a competing interpretation and an overall judgement in 50 minutes.</w:t>
      </w:r>
    </w:p>
    <w:p>
      <w:pPr>
        <w:spacing w:after="100"/>
      </w:pPr>
    </w:p>
    <w:p>
      <w:pPr>
        <w:pBdr>
          <w:bottom w:val="single" w:color="1E40AF" w:sz="12"/>
        </w:pBdr>
        <w:spacing w:before="400" w:after="200"/>
      </w:pPr>
      <w:r>
        <w:rPr>
          <w:b/>
          <w:bCs/>
          <w:color w:val="1E40AF"/>
          <w:sz w:val="28"/>
          <w:szCs w:val="28"/>
        </w:rPr>
        <w:t xml:space="preserve">📅 Teaching Sequence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8%"/>
            <w:shd w:fill="1E40AF" w:val="clear"/>
            <w:tcMar>
              <w:top w:type="dxa" w:w="80"/>
              <w:left w:type="dxa" w:w="80"/>
              <w:bottom w:type="dxa" w:w="80"/>
              <w:right w:type="dxa" w:w="80"/>
            </w:tcMar>
          </w:tcPr>
          <w:p>
            <w:pPr>
              <w:jc w:val="center"/>
            </w:pPr>
            <w:r>
              <w:rPr>
                <w:b/>
                <w:bCs/>
                <w:color w:val="FFFFFF"/>
                <w:sz w:val="20"/>
                <w:szCs w:val="20"/>
              </w:rPr>
              <w:t xml:space="preserve">Week</w:t>
            </w:r>
          </w:p>
        </w:tc>
        <w:tc>
          <w:tcPr>
            <w:tcW w:type="pct" w:w="27%"/>
            <w:shd w:fill="1E40AF" w:val="clear"/>
            <w:tcMar>
              <w:top w:type="dxa" w:w="80"/>
              <w:left w:type="dxa" w:w="80"/>
              <w:bottom w:type="dxa" w:w="80"/>
              <w:right w:type="dxa" w:w="80"/>
            </w:tcMar>
          </w:tcPr>
          <w:p>
            <w:pPr>
              <w:jc w:val="center"/>
            </w:pPr>
            <w:r>
              <w:rPr>
                <w:b/>
                <w:bCs/>
                <w:color w:val="FFFFFF"/>
                <w:sz w:val="20"/>
                <w:szCs w:val="20"/>
              </w:rPr>
              <w:t xml:space="preserve">Focus &amp; Learning Intentions</w:t>
            </w:r>
          </w:p>
        </w:tc>
        <w:tc>
          <w:tcPr>
            <w:tcW w:type="pct" w:w="30%"/>
            <w:shd w:fill="1E40AF" w:val="clear"/>
            <w:tcMar>
              <w:top w:type="dxa" w:w="80"/>
              <w:left w:type="dxa" w:w="80"/>
              <w:bottom w:type="dxa" w:w="80"/>
              <w:right w:type="dxa" w:w="80"/>
            </w:tcMar>
          </w:tcPr>
          <w:p>
            <w:pPr>
              <w:jc w:val="center"/>
            </w:pPr>
            <w:r>
              <w:rPr>
                <w:b/>
                <w:bCs/>
                <w:color w:val="FFFFFF"/>
                <w:sz w:val="20"/>
                <w:szCs w:val="20"/>
              </w:rPr>
              <w:t xml:space="preserve">Activities &amp; Resources</w:t>
            </w:r>
          </w:p>
        </w:tc>
        <w:tc>
          <w:tcPr>
            <w:tcW w:type="pct" w:w="20%"/>
            <w:shd w:fill="1E40AF" w:val="clear"/>
            <w:tcMar>
              <w:top w:type="dxa" w:w="80"/>
              <w:left w:type="dxa" w:w="80"/>
              <w:bottom w:type="dxa" w:w="80"/>
              <w:right w:type="dxa" w:w="80"/>
            </w:tcMar>
          </w:tcPr>
          <w:p>
            <w:pPr>
              <w:jc w:val="center"/>
            </w:pPr>
            <w:r>
              <w:rPr>
                <w:b/>
                <w:bCs/>
                <w:color w:val="FFFFFF"/>
                <w:sz w:val="20"/>
                <w:szCs w:val="20"/>
              </w:rPr>
              <w:t xml:space="preserve">Differentiation</w:t>
            </w:r>
          </w:p>
        </w:tc>
        <w:tc>
          <w:tcPr>
            <w:tcW w:type="pct" w:w="15%"/>
            <w:shd w:fill="1E40AF" w:val="clear"/>
            <w:tcMar>
              <w:top w:type="dxa" w:w="80"/>
              <w:left w:type="dxa" w:w="80"/>
              <w:bottom w:type="dxa" w:w="80"/>
              <w:right w:type="dxa" w:w="80"/>
            </w:tcMar>
          </w:tcPr>
          <w:p>
            <w:pPr>
              <w:jc w:val="center"/>
            </w:pPr>
            <w:r>
              <w:rPr>
                <w:b/>
                <w:bCs/>
                <w:color w:val="FFFFFF"/>
                <w:sz w:val="20"/>
                <w:szCs w:val="20"/>
              </w:rPr>
              <w:t xml:space="preserve">Assessment</w:t>
            </w:r>
          </w:p>
        </w:tc>
      </w:tr>
      <w:tr>
        <w:tc>
          <w:tcPr>
            <w:shd w:fill="FFFFFF" w:val="clear"/>
            <w:tcMar>
              <w:top w:type="dxa" w:w="80"/>
              <w:left w:type="dxa" w:w="80"/>
              <w:bottom w:type="dxa" w:w="80"/>
              <w:right w:type="dxa" w:w="80"/>
            </w:tcMar>
            <w:vAlign w:val="center"/>
          </w:tcPr>
          <w:p>
            <w:pPr>
              <w:jc w:val="center"/>
            </w:pPr>
            <w:r>
              <w:rPr>
                <w:b/>
                <w:bCs/>
                <w:color w:val="1E40AF"/>
                <w:sz w:val="22"/>
                <w:szCs w:val="22"/>
              </w:rPr>
              <w:t xml:space="preserve">1</w:t>
            </w:r>
          </w:p>
        </w:tc>
        <w:tc>
          <w:tcPr>
            <w:shd w:fill="FFFFFF" w:val="clear"/>
            <w:tcMar>
              <w:top w:type="dxa" w:w="80"/>
              <w:left w:type="dxa" w:w="80"/>
              <w:bottom w:type="dxa" w:w="80"/>
              <w:right w:type="dxa" w:w="80"/>
            </w:tcMar>
          </w:tcPr>
          <w:p>
            <w:pPr>
              <w:spacing w:after="60"/>
            </w:pPr>
            <w:r>
              <w:rPr>
                <w:b/>
                <w:bCs/>
                <w:color w:val="1E293B"/>
                <w:sz w:val="20"/>
                <w:szCs w:val="20"/>
              </w:rPr>
              <w:t xml:space="preserve">Civilian baselines, international turning points and women's mobilisation</w:t>
            </w:r>
          </w:p>
          <w:p>
            <w:pPr>
              <w:spacing w:after="40"/>
            </w:pPr>
            <w:r>
              <w:rPr>
                <w:color w:val="1E40AF"/>
                <w:sz w:val="18"/>
                <w:szCs w:val="18"/>
              </w:rPr>
              <w:t xml:space="preserve">▸ </w:t>
            </w:r>
            <w:r>
              <w:rPr>
                <w:b/>
                <w:bCs/>
                <w:color w:val="1E293B"/>
                <w:sz w:val="18"/>
                <w:szCs w:val="18"/>
              </w:rPr>
              <w:t xml:space="preserve">We are learning to describe pre-war roles and explain Australia's entry into war using chronology, causation, change and continuity.</w:t>
            </w:r>
          </w:p>
          <w:p>
            <w:pPr>
              <w:spacing w:after="40"/>
            </w:pPr>
            <w:r>
              <w:rPr>
                <w:color w:val="1E40AF"/>
                <w:sz w:val="18"/>
                <w:szCs w:val="18"/>
              </w:rPr>
              <w:t xml:space="preserve">▸ </w:t>
            </w:r>
            <w:r>
              <w:rPr>
                <w:b/>
                <w:bCs/>
                <w:color w:val="1E293B"/>
                <w:sz w:val="18"/>
                <w:szCs w:val="18"/>
              </w:rPr>
              <w:t xml:space="preserve">We are learning to connect the 1941–1942 international crisis with women's wartime work and combine acknowledged source evidence.</w:t>
            </w:r>
          </w:p>
          <w:p>
            <w:pPr>
              <w:spacing w:after="40"/>
            </w:pPr>
            <w:r>
              <w:rPr>
                <w:color w:val="059669"/>
                <w:sz w:val="18"/>
                <w:szCs w:val="18"/>
              </w:rPr>
              <w:t xml:space="preserve">✓ </w:t>
            </w:r>
            <w:r>
              <w:rPr>
                <w:i/>
                <w:iCs/>
                <w:color w:val="64748B"/>
                <w:sz w:val="18"/>
                <w:szCs w:val="18"/>
              </w:rPr>
              <w:t xml:space="preserve">I can describe paid work, wages, domestic responsibilities and mobilisation, distinguishing pre-war conditions from September 1939 developments.</w:t>
            </w:r>
          </w:p>
          <w:p>
            <w:pPr>
              <w:spacing w:after="40"/>
            </w:pPr>
            <w:r>
              <w:rPr>
                <w:color w:val="059669"/>
                <w:sz w:val="18"/>
                <w:szCs w:val="18"/>
              </w:rPr>
              <w:t xml:space="preserve">✓ </w:t>
            </w:r>
            <w:r>
              <w:rPr>
                <w:i/>
                <w:iCs/>
                <w:color w:val="64748B"/>
                <w:sz w:val="18"/>
                <w:szCs w:val="18"/>
              </w:rPr>
              <w:t xml:space="preserve">I can explain the sequence of Japan's entry and Singapore's fall and combine two sources to explain a development in women's work without overstating what they show.</w:t>
            </w:r>
          </w:p>
          <w:p>
            <w:pPr>
              <w:spacing w:before="60" w:after="30"/>
            </w:pPr>
            <w:r>
              <w:rPr>
                <w:b/>
                <w:bCs/>
                <w:color w:val="1E40AF"/>
                <w:sz w:val="18"/>
                <w:szCs w:val="18"/>
              </w:rPr>
              <w:t xml:space="preserve">Lessons</w:t>
            </w:r>
          </w:p>
          <w:p>
            <w:pPr>
              <w:spacing w:after="30"/>
            </w:pPr>
            <w:r>
              <w:rPr>
                <w:color w:val="1E293B"/>
                <w:sz w:val="18"/>
                <w:szCs w:val="18"/>
              </w:rPr>
              <w:t xml:space="preserve">1. Before and after September 1939: home-front foundations, following a ten-minute knowledge check — By the end, students can distinguish pre-war paid and unpaid roles, explain Australia's entry into war, and use a teacher-modelled chronology and aspect table to describe causes, changes and continuities using projected pre-war employment evidence and the September 1939 declaration.</w:t>
            </w:r>
          </w:p>
          <w:p>
            <w:pPr>
              <w:spacing w:after="30"/>
            </w:pPr>
            <w:r>
              <w:rPr>
                <w:color w:val="1E293B"/>
                <w:sz w:val="18"/>
                <w:szCs w:val="18"/>
              </w:rPr>
              <w:t xml:space="preserve">2. War expands, 1941–1942: Japan, Singapore, munitions workers and the WAAAF — By the end, students can explain Japan's entry and Singapore's fall before connecting these developments to women's work, and follow explicit modelling to combine and acknowledge evidence from a projected munitions photograph, a wartime employment table and a WAAAF recruitment poster in a source-evidence table.</w:t>
            </w:r>
          </w:p>
        </w:tc>
        <w:tc>
          <w:tcPr>
            <w:shd w:fill="FFFFFF" w:val="clear"/>
            <w:tcMar>
              <w:top w:type="dxa" w:w="80"/>
              <w:left w:type="dxa" w:w="80"/>
              <w:bottom w:type="dxa" w:w="80"/>
              <w:right w:type="dxa" w:w="80"/>
            </w:tcMar>
          </w:tcPr>
          <w:p>
            <w:pPr>
              <w:spacing w:after="40"/>
            </w:pPr>
            <w:r>
              <w:rPr>
                <w:color w:val="059669"/>
              </w:rPr>
              <w:t xml:space="preserve">• </w:t>
            </w:r>
            <w:r>
              <w:rPr>
                <w:color w:val="1E293B"/>
                <w:sz w:val="18"/>
                <w:szCs w:val="18"/>
              </w:rPr>
              <w:t xml:space="preserve">Lesson 1 — 0–10 minutes: conduct an informal, uncollected knowledge check using board questions about the home front, women's work and Australia's entry into war; students discuss and jot initial ideas. 10–20: explicitly teach paid and unpaid work, unequal wages and established gender expectations before 1939. 20–30: explain Germany's invasion of Poland and Australia's September 1939 entry, modelling a chronology from the projected declaration. 30–40: define causation, change and continuity; model an aspect table covering paid employment, wages, domestic responsibilities and political mobilisation. 40–47: students write four concise descriptions using the employment evidence and declaration, distinguishing established conditions from initial wartime developments. 47–50: sight two contrast sentences and correct chronology orally.</w:t>
            </w:r>
          </w:p>
          <w:p>
            <w:pPr>
              <w:spacing w:after="40"/>
            </w:pPr>
            <w:r>
              <w:rPr>
                <w:color w:val="059669"/>
              </w:rPr>
              <w:t xml:space="preserve">• </w:t>
            </w:r>
            <w:r>
              <w:rPr>
                <w:color w:val="1E293B"/>
                <w:sz w:val="18"/>
                <w:szCs w:val="18"/>
              </w:rPr>
              <w:t xml:space="preserve">Lesson 2 — 0–10 minutes: explain Japan's December 1941 entry and the February 1942 fall of Singapore, distinguishing these dates from Australia's 1939 entry. 10–20: teach the earlier establishment of the WAAAF in 1941 and the expansion of munitions work through enlistment-related labour shortages and production demands; explain that the 1941–1942 crisis intensified mobilisation rather than originating every development. 20–32: model a source-evidence table using a projected munitions photograph, employment table and WAAAF recruitment poster: source description, supported detail, limitation and explanatory use. 32–43: students combine evidence from two sources to explain one employment development, acknowledging both sources. 43–50: compare explanations and answer a hinge question distinguishing a poster's recruitment message from evidence of actual participation.</w:t>
            </w:r>
          </w:p>
          <w:p>
            <w:pPr>
              <w:spacing w:after="30"/>
            </w:pPr>
            <w:r>
              <w:rPr>
                <w:i/>
                <w:iCs/>
                <w:color w:val="64748B"/>
                <w:sz w:val="17"/>
                <w:szCs w:val="17"/>
              </w:rPr>
              <w:t xml:space="preserve">Board, classroom paper and writing tools</w:t>
            </w:r>
          </w:p>
          <w:p>
            <w:pPr>
              <w:spacing w:after="30"/>
            </w:pPr>
            <w:r>
              <w:rPr>
                <w:i/>
                <w:iCs/>
                <w:color w:val="64748B"/>
                <w:sz w:val="17"/>
                <w:szCs w:val="17"/>
              </w:rPr>
              <w:t xml:space="preserve">Teacher laptop and projector</w:t>
            </w:r>
          </w:p>
          <w:p>
            <w:pPr>
              <w:spacing w:after="30"/>
            </w:pPr>
            <w:r>
              <w:rPr>
                <w:i/>
                <w:iCs/>
                <w:color w:val="64748B"/>
                <w:sz w:val="17"/>
                <w:szCs w:val="17"/>
              </w:rPr>
              <w:t xml:space="preserve">Existing primary source packs</w:t>
            </w:r>
          </w:p>
          <w:p>
            <w:pPr>
              <w:spacing w:after="30"/>
            </w:pPr>
            <w:r>
              <w:rPr>
                <w:i/>
                <w:iCs/>
                <w:color w:val="64748B"/>
                <w:sz w:val="17"/>
                <w:szCs w:val="17"/>
              </w:rPr>
              <w:t xml:space="preserve">Projected pre-war employment evidence and September 1939 declaration extract</w:t>
            </w:r>
          </w:p>
          <w:p>
            <w:pPr>
              <w:spacing w:after="30"/>
            </w:pPr>
            <w:r>
              <w:rPr>
                <w:i/>
                <w:iCs/>
                <w:color w:val="64748B"/>
                <w:sz w:val="17"/>
                <w:szCs w:val="17"/>
              </w:rPr>
              <w:t xml:space="preserve">Projected munitions photograph, wartime employment table and WAAAF recruitment poster</w:t>
            </w:r>
          </w:p>
        </w:tc>
        <w:tc>
          <w:tcPr>
            <w:shd w:fill="FFFFFF" w:val="clear"/>
            <w:tcMar>
              <w:top w:type="dxa" w:w="80"/>
              <w:left w:type="dxa" w:w="80"/>
              <w:bottom w:type="dxa" w:w="80"/>
              <w:right w:type="dxa" w:w="80"/>
            </w:tcMar>
          </w:tcPr>
          <w:p>
            <w:pPr>
              <w:spacing w:after="30"/>
            </w:pPr>
            <w:r>
              <w:rPr>
                <w:b/>
                <w:bCs/>
                <w:color w:val="475569"/>
                <w:sz w:val="18"/>
                <w:szCs w:val="18"/>
              </w:rPr>
              <w:t xml:space="preserve">Support:</w:t>
            </w:r>
          </w:p>
          <w:p>
            <w:pPr>
              <w:spacing w:after="30"/>
            </w:pPr>
            <w:r>
              <w:rPr>
                <w:color w:val="1E293B"/>
                <w:sz w:val="17"/>
                <w:szCs w:val="17"/>
              </w:rPr>
              <w:t xml:space="preserve">  Read short projected extracts aloud and explain home front, mobilisation, munitions, continuity and WAAAF at first use.</w:t>
            </w:r>
          </w:p>
          <w:p>
            <w:pPr>
              <w:spacing w:after="30"/>
            </w:pPr>
            <w:r>
              <w:rPr>
                <w:color w:val="1E293B"/>
                <w:sz w:val="17"/>
                <w:szCs w:val="17"/>
              </w:rPr>
              <w:t xml:space="preserve">  Provide board-drawn chronology and aspect-table headings, followed by sentence stems such as 'Before 1939...' and 'This source supports...'.</w:t>
            </w:r>
          </w:p>
          <w:p>
            <w:pPr>
              <w:spacing w:before="60" w:after="30"/>
            </w:pPr>
            <w:r>
              <w:rPr>
                <w:b/>
                <w:bCs/>
                <w:color w:val="475569"/>
                <w:sz w:val="18"/>
                <w:szCs w:val="18"/>
              </w:rPr>
              <w:t xml:space="preserve">Extension:</w:t>
            </w:r>
          </w:p>
          <w:p>
            <w:pPr>
              <w:spacing w:after="30"/>
            </w:pPr>
            <w:r>
              <w:rPr>
                <w:color w:val="1E293B"/>
                <w:sz w:val="17"/>
                <w:szCs w:val="17"/>
              </w:rPr>
              <w:t xml:space="preserve">  Ask students to explain why a recruitment poster and an employment table answer different historical questions.</w:t>
            </w:r>
          </w:p>
          <w:p>
            <w:pPr>
              <w:spacing w:after="30"/>
            </w:pPr>
            <w:r>
              <w:rPr>
                <w:color w:val="1E293B"/>
                <w:sz w:val="17"/>
                <w:szCs w:val="17"/>
              </w:rPr>
              <w:t xml:space="preserve">  Ask students to distinguish the establishment of an organisation from the later intensification of its wartime role.</w:t>
            </w:r>
          </w:p>
        </w:tc>
        <w:tc>
          <w:tcPr>
            <w:shd w:fill="FFFFFF" w:val="clear"/>
            <w:tcMar>
              <w:top w:type="dxa" w:w="80"/>
              <w:left w:type="dxa" w:w="80"/>
              <w:bottom w:type="dxa" w:w="80"/>
              <w:right w:type="dxa" w:w="80"/>
            </w:tcMar>
          </w:tcPr>
          <w:p>
            <w:pPr>
              <w:spacing w:after="30"/>
            </w:pPr>
            <w:r>
              <w:rPr>
                <w:color w:val="F59E0B"/>
                <w:sz w:val="17"/>
                <w:szCs w:val="17"/>
              </w:rPr>
              <w:t xml:space="preserve">◆ </w:t>
            </w:r>
            <w:r>
              <w:rPr>
                <w:color w:val="1E293B"/>
                <w:sz w:val="17"/>
                <w:szCs w:val="17"/>
              </w:rPr>
              <w:t xml:space="preserve">In Lesson 2's final seven minutes, students show their two-source explanation and answer the recruitment-poster hinge question on their own paper. The teacher sights responses; nothing is collected.</w:t>
            </w:r>
          </w:p>
          <w:p>
            <w:pPr>
              <w:spacing w:after="30"/>
            </w:pPr>
            <w:r>
              <w:rPr>
                <w:color w:val="F59E0B"/>
                <w:sz w:val="17"/>
                <w:szCs w:val="17"/>
              </w:rPr>
              <w:t xml:space="preserve">◆ </w:t>
            </w:r>
            <w:r>
              <w:rPr>
                <w:color w:val="1E293B"/>
                <w:sz w:val="17"/>
                <w:szCs w:val="17"/>
              </w:rPr>
              <w:t xml:space="preserve">During Lesson 1, correct causal language and distinguish a pre-war baseline from a wartime change while students retain their writing.</w:t>
            </w:r>
          </w:p>
          <w:p>
            <w:pPr>
              <w:spacing w:after="30"/>
            </w:pPr>
            <w:r>
              <w:rPr>
                <w:color w:val="F59E0B"/>
                <w:sz w:val="17"/>
                <w:szCs w:val="17"/>
              </w:rPr>
              <w:t xml:space="preserve">◆ </w:t>
            </w:r>
            <w:r>
              <w:rPr>
                <w:color w:val="1E293B"/>
                <w:sz w:val="17"/>
                <w:szCs w:val="17"/>
              </w:rPr>
              <w:t xml:space="preserve">During Lesson 2, give immediate spoken feedback on source acknowledgement and the difference between recruitment intentions and participation evidence.</w:t>
            </w:r>
          </w:p>
        </w:tc>
      </w:tr>
      <w:tr>
        <w:tc>
          <w:tcPr>
            <w:shd w:fill="F8FAFC" w:val="clear"/>
            <w:tcMar>
              <w:top w:type="dxa" w:w="80"/>
              <w:left w:type="dxa" w:w="80"/>
              <w:bottom w:type="dxa" w:w="80"/>
              <w:right w:type="dxa" w:w="80"/>
            </w:tcMar>
            <w:vAlign w:val="center"/>
          </w:tcPr>
          <w:p>
            <w:pPr>
              <w:jc w:val="center"/>
            </w:pPr>
            <w:r>
              <w:rPr>
                <w:b/>
                <w:bCs/>
                <w:color w:val="1E40AF"/>
                <w:sz w:val="22"/>
                <w:szCs w:val="22"/>
              </w:rPr>
              <w:t xml:space="preserve">2</w:t>
            </w:r>
          </w:p>
        </w:tc>
        <w:tc>
          <w:tcPr>
            <w:shd w:fill="F8FAFC" w:val="clear"/>
            <w:tcMar>
              <w:top w:type="dxa" w:w="80"/>
              <w:left w:type="dxa" w:w="80"/>
              <w:bottom w:type="dxa" w:w="80"/>
              <w:right w:type="dxa" w:w="80"/>
            </w:tcMar>
          </w:tcPr>
          <w:p>
            <w:pPr>
              <w:spacing w:after="60"/>
            </w:pPr>
            <w:r>
              <w:rPr>
                <w:b/>
                <w:bCs/>
                <w:color w:val="1E293B"/>
                <w:sz w:val="20"/>
                <w:szCs w:val="20"/>
              </w:rPr>
              <w:t xml:space="preserve">Government intervention, continuing burdens and causal argument</w:t>
            </w:r>
          </w:p>
          <w:p>
            <w:pPr>
              <w:spacing w:after="40"/>
            </w:pPr>
            <w:r>
              <w:rPr>
                <w:color w:val="1E40AF"/>
                <w:sz w:val="18"/>
                <w:szCs w:val="18"/>
              </w:rPr>
              <w:t xml:space="preserve">▸ </w:t>
            </w:r>
            <w:r>
              <w:rPr>
                <w:b/>
                <w:bCs/>
                <w:color w:val="1E293B"/>
                <w:sz w:val="18"/>
                <w:szCs w:val="18"/>
              </w:rPr>
              <w:t xml:space="preserve">We are learning to explain continuing burdens, emergency powers and rationing, and construct an analytical opening using separate practice material.</w:t>
            </w:r>
          </w:p>
          <w:p>
            <w:pPr>
              <w:spacing w:after="40"/>
            </w:pPr>
            <w:r>
              <w:rPr>
                <w:color w:val="1E40AF"/>
                <w:sz w:val="18"/>
                <w:szCs w:val="18"/>
              </w:rPr>
              <w:t xml:space="preserve">▸ </w:t>
            </w:r>
            <w:r>
              <w:rPr>
                <w:b/>
                <w:bCs/>
                <w:color w:val="1E293B"/>
                <w:sz w:val="18"/>
                <w:szCs w:val="18"/>
              </w:rPr>
              <w:t xml:space="preserve">We are learning to explain labour direction and develop connected causal explanations and evidence-tested interpretations.</w:t>
            </w:r>
          </w:p>
          <w:p>
            <w:pPr>
              <w:spacing w:after="40"/>
            </w:pPr>
            <w:r>
              <w:rPr>
                <w:color w:val="059669"/>
                <w:sz w:val="18"/>
                <w:szCs w:val="18"/>
              </w:rPr>
              <w:t xml:space="preserve">✓ </w:t>
            </w:r>
            <w:r>
              <w:rPr>
                <w:i/>
                <w:iCs/>
                <w:color w:val="64748B"/>
                <w:sz w:val="18"/>
                <w:szCs w:val="18"/>
              </w:rPr>
              <w:t xml:space="preserve">I can explain how rationing changed household routines while unequal pay and domestic responsibilities continued, and write an evidence-supported opening about the First World War practice example.</w:t>
            </w:r>
          </w:p>
          <w:p>
            <w:pPr>
              <w:spacing w:after="40"/>
            </w:pPr>
            <w:r>
              <w:rPr>
                <w:color w:val="059669"/>
                <w:sz w:val="18"/>
                <w:szCs w:val="18"/>
              </w:rPr>
              <w:t xml:space="preserve">✓ </w:t>
            </w:r>
            <w:r>
              <w:rPr>
                <w:i/>
                <w:iCs/>
                <w:color w:val="64748B"/>
                <w:sz w:val="18"/>
                <w:szCs w:val="18"/>
              </w:rPr>
              <w:t xml:space="preserve">I can distinguish labour direction from rationing, connect First World War censorship with recruitment, and test an interpretation against referendum evidence.</w:t>
            </w:r>
          </w:p>
          <w:p>
            <w:pPr>
              <w:spacing w:before="60" w:after="30"/>
            </w:pPr>
            <w:r>
              <w:rPr>
                <w:b/>
                <w:bCs/>
                <w:color w:val="1E40AF"/>
                <w:sz w:val="18"/>
                <w:szCs w:val="18"/>
              </w:rPr>
              <w:t xml:space="preserve">Lessons</w:t>
            </w:r>
          </w:p>
          <w:p>
            <w:pPr>
              <w:spacing w:after="30"/>
            </w:pPr>
            <w:r>
              <w:rPr>
                <w:color w:val="1E293B"/>
                <w:sz w:val="18"/>
                <w:szCs w:val="18"/>
              </w:rPr>
              <w:t xml:space="preserve">1. Expanded work, continuing burdens: emergency powers and rationing — By the end, students can explain unequal pay and domestic responsibilities, the National Security Act and rationing through a projected wage comparison, ration-book extract and household account, practise synthesising their evidence, and learn opening-section analysis through a separate teacher-modelled First W</w:t>
            </w:r>
          </w:p>
          <w:p>
            <w:pPr>
              <w:spacing w:after="30"/>
            </w:pPr>
            <w:r>
              <w:rPr>
                <w:color w:val="1E293B"/>
                <w:sz w:val="18"/>
                <w:szCs w:val="18"/>
              </w:rPr>
              <w:t xml:space="preserve">2. Who chooses the job? Labour direction and connected causal explanations — By the end, students can explain labour direction from a projected manpower notice and worker account, learn to connect interacting controls through a separate First World War censorship and recruitment model, and practise an opening analysis before learning to weigh competing interpretations using 1917 conscri</w:t>
            </w:r>
          </w:p>
        </w:tc>
        <w:tc>
          <w:tcPr>
            <w:shd w:fill="F8FAFC" w:val="clear"/>
            <w:tcMar>
              <w:top w:type="dxa" w:w="80"/>
              <w:left w:type="dxa" w:w="80"/>
              <w:bottom w:type="dxa" w:w="80"/>
              <w:right w:type="dxa" w:w="80"/>
            </w:tcMar>
          </w:tcPr>
          <w:p>
            <w:pPr>
              <w:spacing w:after="40"/>
            </w:pPr>
            <w:r>
              <w:rPr>
                <w:color w:val="059669"/>
              </w:rPr>
              <w:t xml:space="preserve">• </w:t>
            </w:r>
            <w:r>
              <w:rPr>
                <w:color w:val="1E293B"/>
                <w:sz w:val="18"/>
                <w:szCs w:val="18"/>
              </w:rPr>
              <w:t xml:space="preserve">Lesson 1 — 0–12 minutes: teach unequal pay, continuing household responsibilities and expectations that many wartime jobs were temporary, using a projected wage comparison and household account. 12–22: explain the National Security Act 1939 and how regulations expanded Commonwealth intervention; introduce rationing from 1942 through shortages and competing military and civilian demands. 22–32: examine a ration-book extract and household account; students synthesise two details to explain a change in shopping or household routines, while recognising that coupons did not remove the need to pay. 32–40: introduce the separate First World War practice context—Australia's 1914 entry, voluntary overseas enlistment, recruitment demands and nursing service—and explain the selected recruitment poster and service account. 40–45: model an opening analytical section on those First World War developments, showing position, overseas cause, source evidence and significance. 45–50: students write a brief opening analysis of the nursing example and receive spoken feedback.</w:t>
            </w:r>
          </w:p>
          <w:p>
            <w:pPr>
              <w:spacing w:after="40"/>
            </w:pPr>
            <w:r>
              <w:rPr>
                <w:color w:val="059669"/>
              </w:rPr>
              <w:t xml:space="preserve">• </w:t>
            </w:r>
            <w:r>
              <w:rPr>
                <w:color w:val="1E293B"/>
                <w:sz w:val="18"/>
                <w:szCs w:val="18"/>
              </w:rPr>
              <w:t xml:space="preserve">Lesson 2 — 0–10 minutes: teach labour direction under manpower regulations from 1942, distinguishing allocation to essential employment and restrictions on changing jobs from rationing. Use a projected manpower notice and worker account; connect regulation to labour shortages and women's employment. 10–18: students practise a short opening analysis on the previously introduced First World War recruitment evidence. 18–30: explicitly teach First World War censorship, its government authority and its relationship with recruitment campaigns, using a censorship regulation and the known poster. Model a connected causal paragraph rather than two separate lists; students write a two-sentence connection. 30–42: teach the 1917 conscription referendum context, the distinction between voluntary enlistment and proposed compulsory overseas service, the official result and attributed opposing campaign arguments. Model how interpretations can emphasise government influence or limits to that influence and test each against evidence. 42–50: students write a qualified judgement about the referendum evidence and explain which source detail supports it.</w:t>
            </w:r>
          </w:p>
          <w:p>
            <w:pPr>
              <w:spacing w:after="30"/>
            </w:pPr>
            <w:r>
              <w:rPr>
                <w:i/>
                <w:iCs/>
                <w:color w:val="64748B"/>
                <w:sz w:val="17"/>
                <w:szCs w:val="17"/>
              </w:rPr>
              <w:t xml:space="preserve">Board, classroom paper and writing tools</w:t>
            </w:r>
          </w:p>
          <w:p>
            <w:pPr>
              <w:spacing w:after="30"/>
            </w:pPr>
            <w:r>
              <w:rPr>
                <w:i/>
                <w:iCs/>
                <w:color w:val="64748B"/>
                <w:sz w:val="17"/>
                <w:szCs w:val="17"/>
              </w:rPr>
              <w:t xml:space="preserve">Teacher laptop, projector and existing source packs</w:t>
            </w:r>
          </w:p>
          <w:p>
            <w:pPr>
              <w:spacing w:after="30"/>
            </w:pPr>
            <w:r>
              <w:rPr>
                <w:i/>
                <w:iCs/>
                <w:color w:val="64748B"/>
                <w:sz w:val="17"/>
                <w:szCs w:val="17"/>
              </w:rPr>
              <w:t xml:space="preserve">Projected wage comparison, household account and ration-book extract</w:t>
            </w:r>
          </w:p>
          <w:p>
            <w:pPr>
              <w:spacing w:after="30"/>
            </w:pPr>
            <w:r>
              <w:rPr>
                <w:i/>
                <w:iCs/>
                <w:color w:val="64748B"/>
                <w:sz w:val="17"/>
                <w:szCs w:val="17"/>
              </w:rPr>
              <w:t xml:space="preserve">Projected National Security Act summary, manpower notice and worker account</w:t>
            </w:r>
          </w:p>
          <w:p>
            <w:pPr>
              <w:spacing w:after="30"/>
            </w:pPr>
            <w:r>
              <w:rPr>
                <w:i/>
                <w:iCs/>
                <w:color w:val="64748B"/>
                <w:sz w:val="17"/>
                <w:szCs w:val="17"/>
              </w:rPr>
              <w:t xml:space="preserve">Separate First World War recruitment poster, service account, censorship regulation, official 1917 referendum result and attributed campaign arguments</w:t>
            </w:r>
          </w:p>
        </w:tc>
        <w:tc>
          <w:tcPr>
            <w:shd w:fill="F8FAFC" w:val="clear"/>
            <w:tcMar>
              <w:top w:type="dxa" w:w="80"/>
              <w:left w:type="dxa" w:w="80"/>
              <w:bottom w:type="dxa" w:w="80"/>
              <w:right w:type="dxa" w:w="80"/>
            </w:tcMar>
          </w:tcPr>
          <w:p>
            <w:pPr>
              <w:spacing w:after="30"/>
            </w:pPr>
            <w:r>
              <w:rPr>
                <w:b/>
                <w:bCs/>
                <w:color w:val="475569"/>
                <w:sz w:val="18"/>
                <w:szCs w:val="18"/>
              </w:rPr>
              <w:t xml:space="preserve">Support:</w:t>
            </w:r>
          </w:p>
          <w:p>
            <w:pPr>
              <w:spacing w:after="30"/>
            </w:pPr>
            <w:r>
              <w:rPr>
                <w:color w:val="1E293B"/>
                <w:sz w:val="17"/>
                <w:szCs w:val="17"/>
              </w:rPr>
              <w:t xml:space="preserve">  Project a glossary for regulation, rationing, coupon, labour direction, censorship, conscription and interpretation, explaining each at first use.</w:t>
            </w:r>
          </w:p>
          <w:p>
            <w:pPr>
              <w:spacing w:after="30"/>
            </w:pPr>
            <w:r>
              <w:rPr>
                <w:color w:val="1E293B"/>
                <w:sz w:val="17"/>
                <w:szCs w:val="17"/>
              </w:rPr>
              <w:t xml:space="preserve">  Colour-independent board annotations label claim, cause, evidence and explanation; provide linking phrases such as 'This interacted with...' and 'However, the evidence also shows...'.</w:t>
            </w:r>
          </w:p>
          <w:p>
            <w:pPr>
              <w:spacing w:after="30"/>
            </w:pPr>
            <w:r>
              <w:rPr>
                <w:color w:val="1E293B"/>
                <w:sz w:val="17"/>
                <w:szCs w:val="17"/>
              </w:rPr>
              <w:t xml:space="preserve">  Read opposing referendum arguments aloud and separate each author's position from the official referendum result.</w:t>
            </w:r>
          </w:p>
          <w:p>
            <w:pPr>
              <w:spacing w:before="60" w:after="30"/>
            </w:pPr>
            <w:r>
              <w:rPr>
                <w:b/>
                <w:bCs/>
                <w:color w:val="475569"/>
                <w:sz w:val="18"/>
                <w:szCs w:val="18"/>
              </w:rPr>
              <w:t xml:space="preserve">Extension:</w:t>
            </w:r>
          </w:p>
          <w:p>
            <w:pPr>
              <w:spacing w:after="30"/>
            </w:pPr>
            <w:r>
              <w:rPr>
                <w:color w:val="1E293B"/>
                <w:sz w:val="17"/>
                <w:szCs w:val="17"/>
              </w:rPr>
              <w:t xml:space="preserve">  Ask students to explain why public campaign messages alone cannot establish how every household behaved.</w:t>
            </w:r>
          </w:p>
          <w:p>
            <w:pPr>
              <w:spacing w:after="30"/>
            </w:pPr>
            <w:r>
              <w:rPr>
                <w:color w:val="1E293B"/>
                <w:sz w:val="17"/>
                <w:szCs w:val="17"/>
              </w:rPr>
              <w:t xml:space="preserve">  Ask students to distinguish legal authority, implementation and individual experience when explaining government influence.</w:t>
            </w:r>
          </w:p>
        </w:tc>
        <w:tc>
          <w:tcPr>
            <w:shd w:fill="F8FAFC" w:val="clear"/>
            <w:tcMar>
              <w:top w:type="dxa" w:w="80"/>
              <w:left w:type="dxa" w:w="80"/>
              <w:bottom w:type="dxa" w:w="80"/>
              <w:right w:type="dxa" w:w="80"/>
            </w:tcMar>
          </w:tcPr>
          <w:p>
            <w:pPr>
              <w:spacing w:after="30"/>
            </w:pPr>
            <w:r>
              <w:rPr>
                <w:color w:val="F59E0B"/>
                <w:sz w:val="17"/>
                <w:szCs w:val="17"/>
              </w:rPr>
              <w:t xml:space="preserve">◆ </w:t>
            </w:r>
            <w:r>
              <w:rPr>
                <w:color w:val="1E293B"/>
                <w:sz w:val="17"/>
                <w:szCs w:val="17"/>
              </w:rPr>
              <w:t xml:space="preserve">In Lesson 2's final eight minutes, the teacher sights each student's evidence-based judgement on the 1917 referendum and asks a brief distinction question about rationing and labour direction. Nothing is collected.</w:t>
            </w:r>
          </w:p>
          <w:p>
            <w:pPr>
              <w:spacing w:after="30"/>
            </w:pPr>
            <w:r>
              <w:rPr>
                <w:color w:val="F59E0B"/>
                <w:sz w:val="17"/>
                <w:szCs w:val="17"/>
              </w:rPr>
              <w:t xml:space="preserve">◆ </w:t>
            </w:r>
            <w:r>
              <w:rPr>
                <w:color w:val="1E293B"/>
                <w:sz w:val="17"/>
                <w:szCs w:val="17"/>
              </w:rPr>
              <w:t xml:space="preserve">During Lesson 1, identify where a student's sentence explains a relationship rather than merely naming a source.</w:t>
            </w:r>
          </w:p>
          <w:p>
            <w:pPr>
              <w:spacing w:after="30"/>
            </w:pPr>
            <w:r>
              <w:rPr>
                <w:color w:val="F59E0B"/>
                <w:sz w:val="17"/>
                <w:szCs w:val="17"/>
              </w:rPr>
              <w:t xml:space="preserve">◆ </w:t>
            </w:r>
            <w:r>
              <w:rPr>
                <w:color w:val="1E293B"/>
                <w:sz w:val="17"/>
                <w:szCs w:val="17"/>
              </w:rPr>
              <w:t xml:space="preserve">During Lesson 2, respond to the short opening, connected sentences and qualified judgement as students write; students keep all work.</w:t>
            </w:r>
          </w:p>
        </w:tc>
      </w:tr>
      <w:tr>
        <w:tc>
          <w:tcPr>
            <w:shd w:fill="FFFFFF" w:val="clear"/>
            <w:tcMar>
              <w:top w:type="dxa" w:w="80"/>
              <w:left w:type="dxa" w:w="80"/>
              <w:bottom w:type="dxa" w:w="80"/>
              <w:right w:type="dxa" w:w="80"/>
            </w:tcMar>
            <w:vAlign w:val="center"/>
          </w:tcPr>
          <w:p>
            <w:pPr>
              <w:jc w:val="center"/>
            </w:pPr>
            <w:r>
              <w:rPr>
                <w:b/>
                <w:bCs/>
                <w:color w:val="1E40AF"/>
                <w:sz w:val="22"/>
                <w:szCs w:val="22"/>
              </w:rPr>
              <w:t xml:space="preserve">3</w:t>
            </w:r>
          </w:p>
        </w:tc>
        <w:tc>
          <w:tcPr>
            <w:shd w:fill="FFFFFF" w:val="clear"/>
            <w:tcMar>
              <w:top w:type="dxa" w:w="80"/>
              <w:left w:type="dxa" w:w="80"/>
              <w:bottom w:type="dxa" w:w="80"/>
              <w:right w:type="dxa" w:w="80"/>
            </w:tcMar>
          </w:tcPr>
          <w:p>
            <w:pPr>
              <w:spacing w:after="60"/>
            </w:pPr>
            <w:r>
              <w:rPr>
                <w:b/>
                <w:bCs/>
                <w:color w:val="1E293B"/>
                <w:sz w:val="20"/>
                <w:szCs w:val="20"/>
              </w:rPr>
              <w:t xml:space="preserve">Unequal experiences and independent explanatory writing</w:t>
            </w:r>
          </w:p>
          <w:p>
            <w:pPr>
              <w:spacing w:after="40"/>
            </w:pPr>
            <w:r>
              <w:rPr>
                <w:color w:val="1E40AF"/>
                <w:sz w:val="18"/>
                <w:szCs w:val="18"/>
              </w:rPr>
              <w:t xml:space="preserve">▸ </w:t>
            </w:r>
            <w:r>
              <w:rPr>
                <w:b/>
                <w:bCs/>
                <w:color w:val="1E293B"/>
                <w:sz w:val="18"/>
                <w:szCs w:val="18"/>
              </w:rPr>
              <w:t xml:space="preserve">We are learning to explain unequal First Nations women's experiences and organise a sustained historical explanation using separate practice material.</w:t>
            </w:r>
          </w:p>
          <w:p>
            <w:pPr>
              <w:spacing w:after="40"/>
            </w:pPr>
            <w:r>
              <w:rPr>
                <w:color w:val="1E40AF"/>
                <w:sz w:val="18"/>
                <w:szCs w:val="18"/>
              </w:rPr>
              <w:t xml:space="preserve">▸ </w:t>
            </w:r>
            <w:r>
              <w:rPr>
                <w:b/>
                <w:bCs/>
                <w:color w:val="1E293B"/>
                <w:sz w:val="18"/>
                <w:szCs w:val="18"/>
              </w:rPr>
              <w:t xml:space="preserve">We are learning to independently transfer evidence synthesis, connected explanation and qualified judgement into timed writing.</w:t>
            </w:r>
          </w:p>
          <w:p>
            <w:pPr>
              <w:spacing w:after="40"/>
            </w:pPr>
            <w:r>
              <w:rPr>
                <w:color w:val="059669"/>
                <w:sz w:val="18"/>
                <w:szCs w:val="18"/>
              </w:rPr>
              <w:t xml:space="preserve">✓ </w:t>
            </w:r>
            <w:r>
              <w:rPr>
                <w:i/>
                <w:iCs/>
                <w:color w:val="64748B"/>
                <w:sz w:val="18"/>
                <w:szCs w:val="18"/>
              </w:rPr>
              <w:t xml:space="preserve">I can explain a specific First Nations contribution alongside continuing discrimination and organise a three-section explanation with connected analysis and a competing interpretation.</w:t>
            </w:r>
          </w:p>
          <w:p>
            <w:pPr>
              <w:spacing w:after="40"/>
            </w:pPr>
            <w:r>
              <w:rPr>
                <w:color w:val="059669"/>
                <w:sz w:val="18"/>
                <w:szCs w:val="18"/>
              </w:rPr>
              <w:t xml:space="preserve">✓ </w:t>
            </w:r>
            <w:r>
              <w:rPr>
                <w:i/>
                <w:iCs/>
                <w:color w:val="64748B"/>
                <w:sz w:val="18"/>
                <w:szCs w:val="18"/>
              </w:rPr>
              <w:t xml:space="preserve">I can independently write 400–500 words in 50 minutes about the taught First World War material, acknowledging remembered sources and evaluating an alternative interpretation.</w:t>
            </w:r>
          </w:p>
          <w:p>
            <w:pPr>
              <w:spacing w:before="60" w:after="30"/>
            </w:pPr>
            <w:r>
              <w:rPr>
                <w:b/>
                <w:bCs/>
                <w:color w:val="1E40AF"/>
                <w:sz w:val="18"/>
                <w:szCs w:val="18"/>
              </w:rPr>
              <w:t xml:space="preserve">Lessons</w:t>
            </w:r>
          </w:p>
          <w:p>
            <w:pPr>
              <w:spacing w:after="30"/>
            </w:pPr>
            <w:r>
              <w:rPr>
                <w:color w:val="1E293B"/>
                <w:sz w:val="18"/>
                <w:szCs w:val="18"/>
              </w:rPr>
              <w:t xml:space="preserve">1. Unequal experiences: First Nations women and the architecture of an explanation — By the end, students can explain First Nations women's contributions and continuing discrimination using a short teacher-selected institutional history and attributed wartime account, practise connected analysis and competing interpretations on the previously studied First World War material, and learn a three-</w:t>
            </w:r>
          </w:p>
          <w:p>
            <w:pPr>
              <w:spacing w:after="30"/>
            </w:pPr>
            <w:r>
              <w:rPr>
                <w:color w:val="1E293B"/>
                <w:sz w:val="18"/>
                <w:szCs w:val="18"/>
              </w:rPr>
              <w:t xml:space="preserve">2. Independent transfer: a timed explanation about Australia's First World War home front — By the end, students can independently write a 400–500-word, three-section explanation about the effects and limits of First World War recruitment and censorship, using only previously studied evidence recalled from memory, acknowledging sources and evaluating an alternative interpretation within 50 minutes.</w:t>
            </w:r>
          </w:p>
        </w:tc>
        <w:tc>
          <w:tcPr>
            <w:shd w:fill="FFFFFF" w:val="clear"/>
            <w:tcMar>
              <w:top w:type="dxa" w:w="80"/>
              <w:left w:type="dxa" w:w="80"/>
              <w:bottom w:type="dxa" w:w="80"/>
              <w:right w:type="dxa" w:w="80"/>
            </w:tcMar>
          </w:tcPr>
          <w:p>
            <w:pPr>
              <w:spacing w:after="40"/>
            </w:pPr>
            <w:r>
              <w:rPr>
                <w:color w:val="059669"/>
              </w:rPr>
              <w:t xml:space="preserve">• </w:t>
            </w:r>
            <w:r>
              <w:rPr>
                <w:color w:val="1E293B"/>
                <w:sz w:val="18"/>
                <w:szCs w:val="18"/>
              </w:rPr>
              <w:t xml:space="preserve">Lesson 1 — 0–14 minutes: teach First Nations women's wartime work and community contributions through a short institutional history and an attributed wartime account. Identify the particular setting and explain continuing discrimination and restrictions without generalising one experience to all communities. Students describe one contribution and one continuity, linking them to the pre-war baseline. 14–26: return to the previously taught First World War material; students write a connected paragraph explaining recruitment and censorship, then add a competing interpretation supported and limited by the referendum evidence. 26–38: explicitly teach the architecture of a 400–500-word explanation through a separate First World War structural example: three headed sections, opening position, connected analytical middle and evaluative ending. Model distributing words and synthesising evidence without formal referencing. 38–46: teach a 50-minute routine of five minutes planning, 39 minutes writing, five minutes checking and one minute submitting; students practise a brief memory-based plan for a narrow First World War explanation. 46–50: retrieve source descriptions and check that explanations and judgements are supported by remembered evidence.</w:t>
            </w:r>
          </w:p>
          <w:p>
            <w:pPr>
              <w:spacing w:after="40"/>
            </w:pPr>
            <w:r>
              <w:rPr>
                <w:color w:val="059669"/>
              </w:rPr>
              <w:t xml:space="preserve">• </w:t>
            </w:r>
            <w:r>
              <w:rPr>
                <w:color w:val="1E293B"/>
                <w:sz w:val="18"/>
                <w:szCs w:val="18"/>
              </w:rPr>
              <w:t xml:space="preserve">Lesson 2 — conduct the full independent transfer exercise on a newly presented First World War prompt: 'Explain how recruitment campaigns and censorship influenced Australia's First World War home front, and why their influence had limits.' Students use only previously taught evidence recalled from memory. Allocate five minutes to planning, 39 minutes to writing 400–500 words in three connected headed sections, five minutes to checking source acknowledgement, causal connections and an alternative interpretation, and one minute to submission. No notes, source displays or devices are used. Collect this single practice piece for teacher feedback before Week 4.</w:t>
            </w:r>
          </w:p>
          <w:p>
            <w:pPr>
              <w:spacing w:after="30"/>
            </w:pPr>
            <w:r>
              <w:rPr>
                <w:i/>
                <w:iCs/>
                <w:color w:val="64748B"/>
                <w:sz w:val="17"/>
                <w:szCs w:val="17"/>
              </w:rPr>
              <w:t xml:space="preserve">Board, classroom paper and writing tools</w:t>
            </w:r>
          </w:p>
          <w:p>
            <w:pPr>
              <w:spacing w:after="30"/>
            </w:pPr>
            <w:r>
              <w:rPr>
                <w:i/>
                <w:iCs/>
                <w:color w:val="64748B"/>
                <w:sz w:val="17"/>
                <w:szCs w:val="17"/>
              </w:rPr>
              <w:t xml:space="preserve">Teacher laptop and projector for Lesson 1</w:t>
            </w:r>
          </w:p>
          <w:p>
            <w:pPr>
              <w:spacing w:after="30"/>
            </w:pPr>
            <w:r>
              <w:rPr>
                <w:i/>
                <w:iCs/>
                <w:color w:val="64748B"/>
                <w:sz w:val="17"/>
                <w:szCs w:val="17"/>
              </w:rPr>
              <w:t xml:space="preserve">Short institutional history and attributed account of First Nations women's wartime contributions</w:t>
            </w:r>
          </w:p>
          <w:p>
            <w:pPr>
              <w:spacing w:after="30"/>
            </w:pPr>
            <w:r>
              <w:rPr>
                <w:i/>
                <w:iCs/>
                <w:color w:val="64748B"/>
                <w:sz w:val="17"/>
                <w:szCs w:val="17"/>
              </w:rPr>
              <w:t xml:space="preserve">Previously studied First World War sources for Lesson 1</w:t>
            </w:r>
          </w:p>
          <w:p>
            <w:pPr>
              <w:spacing w:after="30"/>
            </w:pPr>
            <w:r>
              <w:rPr>
                <w:i/>
                <w:iCs/>
                <w:color w:val="64748B"/>
                <w:sz w:val="17"/>
                <w:szCs w:val="17"/>
              </w:rPr>
              <w:t xml:space="preserve">Teacher-prepared First World War practice prompt, shown at the start of Lesson 2</w:t>
            </w:r>
          </w:p>
        </w:tc>
        <w:tc>
          <w:tcPr>
            <w:shd w:fill="FFFFFF" w:val="clear"/>
            <w:tcMar>
              <w:top w:type="dxa" w:w="80"/>
              <w:left w:type="dxa" w:w="80"/>
              <w:bottom w:type="dxa" w:w="80"/>
              <w:right w:type="dxa" w:w="80"/>
            </w:tcMar>
          </w:tcPr>
          <w:p>
            <w:pPr>
              <w:spacing w:after="30"/>
            </w:pPr>
            <w:r>
              <w:rPr>
                <w:b/>
                <w:bCs/>
                <w:color w:val="475569"/>
                <w:sz w:val="18"/>
                <w:szCs w:val="18"/>
              </w:rPr>
              <w:t xml:space="preserve">Support:</w:t>
            </w:r>
          </w:p>
          <w:p>
            <w:pPr>
              <w:spacing w:after="30"/>
            </w:pPr>
            <w:r>
              <w:rPr>
                <w:color w:val="1E293B"/>
                <w:sz w:val="17"/>
                <w:szCs w:val="17"/>
              </w:rPr>
              <w:t xml:space="preserve">  Read the selected First Nations account aloud, explain its historical context and provide board headings for contribution, restriction and source limitation.</w:t>
            </w:r>
          </w:p>
          <w:p>
            <w:pPr>
              <w:spacing w:after="30"/>
            </w:pPr>
            <w:r>
              <w:rPr>
                <w:color w:val="1E293B"/>
                <w:sz w:val="17"/>
                <w:szCs w:val="17"/>
              </w:rPr>
              <w:t xml:space="preserve">  Before the timed exercise, model paragraph functions and a word-budget method using the First World War example; students practise recalling source descriptions rather than memorising quotations.</w:t>
            </w:r>
          </w:p>
          <w:p>
            <w:pPr>
              <w:spacing w:after="30"/>
            </w:pPr>
            <w:r>
              <w:rPr>
                <w:color w:val="1E293B"/>
                <w:sz w:val="17"/>
                <w:szCs w:val="17"/>
              </w:rPr>
              <w:t xml:space="preserve">  Use plain-language instructions for the timed practice while retaining independent written evidence and the full writing demands.</w:t>
            </w:r>
          </w:p>
          <w:p>
            <w:pPr>
              <w:spacing w:before="60" w:after="30"/>
            </w:pPr>
            <w:r>
              <w:rPr>
                <w:b/>
                <w:bCs/>
                <w:color w:val="475569"/>
                <w:sz w:val="18"/>
                <w:szCs w:val="18"/>
              </w:rPr>
              <w:t xml:space="preserve">Extension:</w:t>
            </w:r>
          </w:p>
          <w:p>
            <w:pPr>
              <w:spacing w:after="30"/>
            </w:pPr>
            <w:r>
              <w:rPr>
                <w:color w:val="1E293B"/>
                <w:sz w:val="17"/>
                <w:szCs w:val="17"/>
              </w:rPr>
              <w:t xml:space="preserve">  Ask students to qualify broad claims about women's opportunities by considering whose experiences a source represents.</w:t>
            </w:r>
          </w:p>
          <w:p>
            <w:pPr>
              <w:spacing w:after="30"/>
            </w:pPr>
            <w:r>
              <w:rPr>
                <w:color w:val="1E293B"/>
                <w:sz w:val="17"/>
                <w:szCs w:val="17"/>
              </w:rPr>
              <w:t xml:space="preserve">  In the First World War practice, encourage students to distinguish government capacity to regulate information from its capacity to secure public agreement.</w:t>
            </w:r>
          </w:p>
        </w:tc>
        <w:tc>
          <w:tcPr>
            <w:shd w:fill="FFFFFF" w:val="clear"/>
            <w:tcMar>
              <w:top w:type="dxa" w:w="80"/>
              <w:left w:type="dxa" w:w="80"/>
              <w:bottom w:type="dxa" w:w="80"/>
              <w:right w:type="dxa" w:w="80"/>
            </w:tcMar>
          </w:tcPr>
          <w:p>
            <w:pPr>
              <w:spacing w:after="30"/>
            </w:pPr>
            <w:r>
              <w:rPr>
                <w:color w:val="F59E0B"/>
                <w:sz w:val="17"/>
                <w:szCs w:val="17"/>
              </w:rPr>
              <w:t xml:space="preserve">◆ </w:t>
            </w:r>
            <w:r>
              <w:rPr>
                <w:color w:val="1E293B"/>
                <w:sz w:val="17"/>
                <w:szCs w:val="17"/>
              </w:rPr>
              <w:t xml:space="preserve">Collect only the Lesson 2 timed First World War practice explanation. Check accurate description, source synthesis, causal connections, competing interpretation and completion within 50 minutes; return this one mid-unit piece with feedback in Week 4 Lesson 1.</w:t>
            </w:r>
          </w:p>
          <w:p>
            <w:pPr>
              <w:spacing w:after="30"/>
            </w:pPr>
            <w:r>
              <w:rPr>
                <w:color w:val="F59E0B"/>
                <w:sz w:val="17"/>
                <w:szCs w:val="17"/>
              </w:rPr>
              <w:t xml:space="preserve">◆ </w:t>
            </w:r>
            <w:r>
              <w:rPr>
                <w:color w:val="1E293B"/>
                <w:sz w:val="17"/>
                <w:szCs w:val="17"/>
              </w:rPr>
              <w:t xml:space="preserve">During Lesson 1, give spoken feedback on respectful specificity, connected causal writing and the evidence used to test interpretations.</w:t>
            </w:r>
          </w:p>
          <w:p>
            <w:pPr>
              <w:spacing w:after="30"/>
            </w:pPr>
            <w:r>
              <w:rPr>
                <w:color w:val="F59E0B"/>
                <w:sz w:val="17"/>
                <w:szCs w:val="17"/>
              </w:rPr>
              <w:t xml:space="preserve">◆ </w:t>
            </w:r>
            <w:r>
              <w:rPr>
                <w:color w:val="1E293B"/>
                <w:sz w:val="17"/>
                <w:szCs w:val="17"/>
              </w:rPr>
              <w:t xml:space="preserve">After Lesson 2, annotate the single collected practice piece with one knowledge-accuracy priority and one writing priority; return it in Week 4 Lesson 1.</w:t>
            </w:r>
          </w:p>
        </w:tc>
      </w:tr>
      <w:tr>
        <w:tc>
          <w:tcPr>
            <w:shd w:fill="F8FAFC" w:val="clear"/>
            <w:tcMar>
              <w:top w:type="dxa" w:w="80"/>
              <w:left w:type="dxa" w:w="80"/>
              <w:bottom w:type="dxa" w:w="80"/>
              <w:right w:type="dxa" w:w="80"/>
            </w:tcMar>
            <w:vAlign w:val="center"/>
          </w:tcPr>
          <w:p>
            <w:pPr>
              <w:jc w:val="center"/>
            </w:pPr>
            <w:r>
              <w:rPr>
                <w:b/>
                <w:bCs/>
                <w:color w:val="1E40AF"/>
                <w:sz w:val="22"/>
                <w:szCs w:val="22"/>
              </w:rPr>
              <w:t xml:space="preserve">4</w:t>
            </w:r>
          </w:p>
        </w:tc>
        <w:tc>
          <w:tcPr>
            <w:shd w:fill="F8FAFC" w:val="clear"/>
            <w:tcMar>
              <w:top w:type="dxa" w:w="80"/>
              <w:left w:type="dxa" w:w="80"/>
              <w:bottom w:type="dxa" w:w="80"/>
              <w:right w:type="dxa" w:w="80"/>
            </w:tcMar>
          </w:tcPr>
          <w:p>
            <w:pPr>
              <w:spacing w:after="60"/>
            </w:pPr>
            <w:r>
              <w:rPr>
                <w:b/>
                <w:bCs/>
                <w:color w:val="1E293B"/>
                <w:sz w:val="20"/>
                <w:szCs w:val="20"/>
              </w:rPr>
              <w:t xml:space="preserve">Accurate retrieval, refined reasoning and final historical judgement</w:t>
            </w:r>
          </w:p>
          <w:p>
            <w:pPr>
              <w:spacing w:after="40"/>
            </w:pPr>
            <w:r>
              <w:rPr>
                <w:color w:val="1E40AF"/>
                <w:sz w:val="18"/>
                <w:szCs w:val="18"/>
              </w:rPr>
              <w:t xml:space="preserve">▸ </w:t>
            </w:r>
            <w:r>
              <w:rPr>
                <w:b/>
                <w:bCs/>
                <w:color w:val="1E293B"/>
                <w:sz w:val="18"/>
                <w:szCs w:val="18"/>
              </w:rPr>
              <w:t xml:space="preserve">We are learning to use feedback to improve reasoning and retrieve accurate historical knowledge and source evidence.</w:t>
            </w:r>
          </w:p>
          <w:p>
            <w:pPr>
              <w:spacing w:after="40"/>
            </w:pPr>
            <w:r>
              <w:rPr>
                <w:color w:val="1E40AF"/>
                <w:sz w:val="18"/>
                <w:szCs w:val="18"/>
              </w:rPr>
              <w:t xml:space="preserve">▸ </w:t>
            </w:r>
            <w:r>
              <w:rPr>
                <w:b/>
                <w:bCs/>
                <w:color w:val="1E293B"/>
                <w:sz w:val="18"/>
                <w:szCs w:val="18"/>
              </w:rPr>
              <w:t xml:space="preserve">We are learning to demonstrate an independent historical argument about Australia's Second World War home front under supervised conditions.</w:t>
            </w:r>
          </w:p>
          <w:p>
            <w:pPr>
              <w:spacing w:after="40"/>
            </w:pPr>
            <w:r>
              <w:rPr>
                <w:color w:val="059669"/>
                <w:sz w:val="18"/>
                <w:szCs w:val="18"/>
              </w:rPr>
              <w:t xml:space="preserve">✓ </w:t>
            </w:r>
            <w:r>
              <w:rPr>
                <w:i/>
                <w:iCs/>
                <w:color w:val="64748B"/>
                <w:sz w:val="18"/>
                <w:szCs w:val="18"/>
              </w:rPr>
              <w:t xml:space="preserve">I can improve a First World War passage using feedback and accurately retrieve Second World War chronology, sources, controls, changes and continuities.</w:t>
            </w:r>
          </w:p>
          <w:p>
            <w:pPr>
              <w:spacing w:after="40"/>
            </w:pPr>
            <w:r>
              <w:rPr>
                <w:color w:val="059669"/>
                <w:sz w:val="18"/>
                <w:szCs w:val="18"/>
              </w:rPr>
              <w:t xml:space="preserve">✓ </w:t>
            </w:r>
            <w:r>
              <w:rPr>
                <w:i/>
                <w:iCs/>
                <w:color w:val="64748B"/>
                <w:sz w:val="18"/>
                <w:szCs w:val="18"/>
              </w:rPr>
              <w:t xml:space="preserve">I can submit a 400–500-word explanation with three connected headed sections, acknowledged remembered evidence, a competing interpretation and a qualified judgement within 50 minutes.</w:t>
            </w:r>
          </w:p>
          <w:p>
            <w:pPr>
              <w:spacing w:before="60" w:after="30"/>
            </w:pPr>
            <w:r>
              <w:rPr>
                <w:b/>
                <w:bCs/>
                <w:color w:val="1E40AF"/>
                <w:sz w:val="18"/>
                <w:szCs w:val="18"/>
              </w:rPr>
              <w:t xml:space="preserve">Lessons</w:t>
            </w:r>
          </w:p>
          <w:p>
            <w:pPr>
              <w:spacing w:after="30"/>
            </w:pPr>
            <w:r>
              <w:rPr>
                <w:color w:val="1E293B"/>
                <w:sz w:val="18"/>
                <w:szCs w:val="18"/>
              </w:rPr>
              <w:t xml:space="preserve">1. Feedback and retrieval: accurate evidence, connected causes and qualified judgements — By the end, students can correct their First World War practice writing using teacher feedback, improve one short passage without preparing the assessment response, and retrieve Second World War dates, source descriptions, work changes, controls and continuities through brief factual and causal checks.</w:t>
            </w:r>
          </w:p>
          <w:p>
            <w:pPr>
              <w:spacing w:after="30"/>
            </w:pPr>
            <w:r>
              <w:rPr>
                <w:color w:val="1E293B"/>
                <w:sz w:val="18"/>
                <w:szCs w:val="18"/>
              </w:rPr>
              <w:t xml:space="preserve">2. Supervised assessment: Work, Rules and Daily Life: Australia at War — By the end, students can submit an individual 400–500-word historical explanation in three connected headed sections during the 50-minute supervised sitting, evaluating the supplied claim through women's work, rationing, labour direction, remembered class evidence and a competing interpretation without notes, d</w:t>
            </w:r>
          </w:p>
        </w:tc>
        <w:tc>
          <w:tcPr>
            <w:shd w:fill="F8FAFC" w:val="clear"/>
            <w:tcMar>
              <w:top w:type="dxa" w:w="80"/>
              <w:left w:type="dxa" w:w="80"/>
              <w:bottom w:type="dxa" w:w="80"/>
              <w:right w:type="dxa" w:w="80"/>
            </w:tcMar>
          </w:tcPr>
          <w:p>
            <w:pPr>
              <w:spacing w:after="40"/>
            </w:pPr>
            <w:r>
              <w:rPr>
                <w:color w:val="059669"/>
              </w:rPr>
              <w:t xml:space="preserve">• </w:t>
            </w:r>
            <w:r>
              <w:rPr>
                <w:color w:val="1E293B"/>
                <w:sz w:val="18"/>
                <w:szCs w:val="18"/>
              </w:rPr>
              <w:t xml:space="preserve">Lesson 1 — 0–10 minutes: return the First World War practice writing and explain common feedback through short anonymous examples. 10–23: students correct one factual or evidentiary issue and improve one short First World War passage, retaining the original topic rather than preparing the assessment response. 23–33: conduct factual retrieval of September 1939, WAAAF establishment in 1941, December 1941, February 1942, emergency powers, rationing and labour direction; students check and correct answers against the board. 33–43: conduct short causal and source-description checks about munitions employment, continuing burdens, controls and First Nations women's experiences. Require brief statements rather than a response plan. 43–50: students explain one change, one continuity and one source limitation orally or in brief notes; review the independent writing routine and source acknowledgement without constructing the final response.</w:t>
            </w:r>
          </w:p>
          <w:p>
            <w:pPr>
              <w:spacing w:after="40"/>
            </w:pPr>
            <w:r>
              <w:rPr>
                <w:color w:val="059669"/>
              </w:rPr>
              <w:t xml:space="preserve">• </w:t>
            </w:r>
            <w:r>
              <w:rPr>
                <w:color w:val="1E293B"/>
                <w:sz w:val="18"/>
                <w:szCs w:val="18"/>
              </w:rPr>
              <w:t xml:space="preserve">Lesson 2 — begin the saved assessment period by distributing the task booklet and presenting the claim and required three sections. Students complete the individual historical explanation on classroom paper, without notes, source packs or devices. Within the 50-minute sitting, allow five minutes for reading and brief planning, 39 minutes for writing, five minutes for checking the 400–500-word response, headings, evidence acknowledgements and final judgement, and one minute for submission. Students analyse women's wartime work first, connect rationing and labour direction with daily life, and evaluate change and continuity through a competing interpretation. The assessment and submission conclude the unit.</w:t>
            </w:r>
          </w:p>
          <w:p>
            <w:pPr>
              <w:spacing w:after="30"/>
            </w:pPr>
            <w:r>
              <w:rPr>
                <w:i/>
                <w:iCs/>
                <w:color w:val="64748B"/>
                <w:sz w:val="17"/>
                <w:szCs w:val="17"/>
              </w:rPr>
              <w:t xml:space="preserve">Returned First World War practice writing</w:t>
            </w:r>
          </w:p>
          <w:p>
            <w:pPr>
              <w:spacing w:after="30"/>
            </w:pPr>
            <w:r>
              <w:rPr>
                <w:i/>
                <w:iCs/>
                <w:color w:val="64748B"/>
                <w:sz w:val="17"/>
                <w:szCs w:val="17"/>
              </w:rPr>
              <w:t xml:space="preserve">Board, classroom paper and writing tools</w:t>
            </w:r>
          </w:p>
          <w:p>
            <w:pPr>
              <w:spacing w:after="30"/>
            </w:pPr>
            <w:r>
              <w:rPr>
                <w:i/>
                <w:iCs/>
                <w:color w:val="64748B"/>
                <w:sz w:val="17"/>
                <w:szCs w:val="17"/>
              </w:rPr>
              <w:t xml:space="preserve">Teacher laptop and projector for Lesson 1 retrieval</w:t>
            </w:r>
          </w:p>
          <w:p>
            <w:pPr>
              <w:spacing w:after="30"/>
            </w:pPr>
            <w:r>
              <w:rPr>
                <w:i/>
                <w:iCs/>
                <w:color w:val="64748B"/>
                <w:sz w:val="17"/>
                <w:szCs w:val="17"/>
              </w:rPr>
              <w:t xml:space="preserve">Saved two-page assessment booklet</w:t>
            </w:r>
          </w:p>
          <w:p>
            <w:pPr>
              <w:spacing w:after="30"/>
            </w:pPr>
            <w:r>
              <w:rPr>
                <w:i/>
                <w:iCs/>
                <w:color w:val="64748B"/>
                <w:sz w:val="17"/>
                <w:szCs w:val="17"/>
              </w:rPr>
              <w:t xml:space="preserve">Classroom paper for the individual final response</w:t>
            </w:r>
          </w:p>
        </w:tc>
        <w:tc>
          <w:tcPr>
            <w:shd w:fill="F8FAFC" w:val="clear"/>
            <w:tcMar>
              <w:top w:type="dxa" w:w="80"/>
              <w:left w:type="dxa" w:w="80"/>
              <w:bottom w:type="dxa" w:w="80"/>
              <w:right w:type="dxa" w:w="80"/>
            </w:tcMar>
          </w:tcPr>
          <w:p>
            <w:pPr>
              <w:spacing w:after="30"/>
            </w:pPr>
            <w:r>
              <w:rPr>
                <w:b/>
                <w:bCs/>
                <w:color w:val="475569"/>
                <w:sz w:val="18"/>
                <w:szCs w:val="18"/>
              </w:rPr>
              <w:t xml:space="preserve">Support:</w:t>
            </w:r>
          </w:p>
          <w:p>
            <w:pPr>
              <w:spacing w:after="30"/>
            </w:pPr>
            <w:r>
              <w:rPr>
                <w:color w:val="1E293B"/>
                <w:sz w:val="17"/>
                <w:szCs w:val="17"/>
              </w:rPr>
              <w:t xml:space="preserve">  In Lesson 1, explain written feedback aloud and provide a short board checklist for revising the First World War passage.</w:t>
            </w:r>
          </w:p>
          <w:p>
            <w:pPr>
              <w:spacing w:after="30"/>
            </w:pPr>
            <w:r>
              <w:rPr>
                <w:color w:val="1E293B"/>
                <w:sz w:val="17"/>
                <w:szCs w:val="17"/>
              </w:rPr>
              <w:t xml:space="preserve">  Sequence retrieval from dates and definitions to causal relationships, allowing thinking time before students answer.</w:t>
            </w:r>
          </w:p>
          <w:p>
            <w:pPr>
              <w:spacing w:after="30"/>
            </w:pPr>
            <w:r>
              <w:rPr>
                <w:color w:val="1E293B"/>
                <w:sz w:val="17"/>
                <w:szCs w:val="17"/>
              </w:rPr>
              <w:t xml:space="preserve">  Present the final task in its saved plain-language, guided format while retaining the individual writing, evidence and timing requirements.</w:t>
            </w:r>
          </w:p>
          <w:p>
            <w:pPr>
              <w:spacing w:before="60" w:after="30"/>
            </w:pPr>
            <w:r>
              <w:rPr>
                <w:b/>
                <w:bCs/>
                <w:color w:val="475569"/>
                <w:sz w:val="18"/>
                <w:szCs w:val="18"/>
              </w:rPr>
              <w:t xml:space="preserve">Extension:</w:t>
            </w:r>
          </w:p>
          <w:p>
            <w:pPr>
              <w:spacing w:after="30"/>
            </w:pPr>
            <w:r>
              <w:rPr>
                <w:color w:val="1E293B"/>
                <w:sz w:val="17"/>
                <w:szCs w:val="17"/>
              </w:rPr>
              <w:t xml:space="preserve">  During retrieval, ask students to distinguish the scale of a wartime change from its duration within 1939–1945.</w:t>
            </w:r>
          </w:p>
          <w:p>
            <w:pPr>
              <w:spacing w:after="30"/>
            </w:pPr>
            <w:r>
              <w:rPr>
                <w:color w:val="1E293B"/>
                <w:sz w:val="17"/>
                <w:szCs w:val="17"/>
              </w:rPr>
              <w:t xml:space="preserve">  During revision, ask students to refine a judgement by explaining which evidence most strongly limits a competing interpretation.</w:t>
            </w:r>
          </w:p>
        </w:tc>
        <w:tc>
          <w:tcPr>
            <w:shd w:fill="F8FAFC" w:val="clear"/>
            <w:tcMar>
              <w:top w:type="dxa" w:w="80"/>
              <w:left w:type="dxa" w:w="80"/>
              <w:bottom w:type="dxa" w:w="80"/>
              <w:right w:type="dxa" w:w="80"/>
            </w:tcMar>
          </w:tcPr>
          <w:p>
            <w:pPr>
              <w:spacing w:after="30"/>
            </w:pPr>
            <w:r>
              <w:rPr>
                <w:color w:val="F59E0B"/>
                <w:sz w:val="17"/>
                <w:szCs w:val="17"/>
              </w:rPr>
              <w:t xml:space="preserve">◆ </w:t>
            </w:r>
            <w:r>
              <w:rPr>
                <w:color w:val="1E293B"/>
                <w:sz w:val="17"/>
                <w:szCs w:val="17"/>
              </w:rPr>
              <w:t xml:space="preserve">In Lesson 1, sight the corrected First World War passage and brief factual retrieval responses without collecting additional work. In Lesson 2, collect the linked summative explanation and apply its saved A–E marking guide.</w:t>
            </w:r>
          </w:p>
          <w:p>
            <w:pPr>
              <w:spacing w:after="30"/>
            </w:pPr>
            <w:r>
              <w:rPr>
                <w:color w:val="F59E0B"/>
                <w:sz w:val="17"/>
                <w:szCs w:val="17"/>
              </w:rPr>
              <w:t xml:space="preserve">◆ </w:t>
            </w:r>
            <w:r>
              <w:rPr>
                <w:color w:val="1E293B"/>
                <w:sz w:val="17"/>
                <w:szCs w:val="17"/>
              </w:rPr>
              <w:t xml:space="preserve">In Lesson 1, conference briefly over the returned practice piece and check that each revision addresses the student's identified priority.</w:t>
            </w:r>
          </w:p>
          <w:p>
            <w:pPr>
              <w:spacing w:after="30"/>
            </w:pPr>
            <w:r>
              <w:rPr>
                <w:color w:val="F59E0B"/>
                <w:sz w:val="17"/>
                <w:szCs w:val="17"/>
              </w:rPr>
              <w:t xml:space="preserve">◆ </w:t>
            </w:r>
            <w:r>
              <w:rPr>
                <w:color w:val="1E293B"/>
                <w:sz w:val="17"/>
                <w:szCs w:val="17"/>
              </w:rPr>
              <w:t xml:space="preserve">Give immediate factual correction during retrieval; during the summative sitting provide procedural clarification only, not response coaching.</w:t>
            </w:r>
          </w:p>
        </w:tc>
      </w:tr>
    </w:tbl>
    <w:p>
      <w:pPr>
        <w:spacing w:after="200"/>
      </w:pPr>
    </w:p>
    <w:p>
      <w:pPr>
        <w:pBdr>
          <w:bottom w:val="single" w:color="1E40AF" w:sz="12"/>
        </w:pBdr>
        <w:spacing w:before="400" w:after="200"/>
      </w:pPr>
      <w:r>
        <w:rPr>
          <w:b/>
          <w:bCs/>
          <w:color w:val="1E40AF"/>
          <w:sz w:val="28"/>
          <w:szCs w:val="28"/>
        </w:rPr>
        <w:t xml:space="preserve">📝 Linked Assessments</w:t>
      </w:r>
    </w:p>
    <w:p>
      <w:pPr>
        <w:spacing w:before="0" w:after="60"/>
        <w:ind w:left="288"/>
      </w:pPr>
      <w:r>
        <w:rPr>
          <w:b/>
          <w:bCs/>
          <w:color w:val="F59E0B"/>
          <w:sz w:val="22"/>
          <w:szCs w:val="22"/>
        </w:rPr>
        <w:t xml:space="preserve">1. </w:t>
      </w:r>
      <w:r>
        <w:rPr>
          <w:b/>
          <w:bCs/>
          <w:color w:val="1E293B"/>
          <w:sz w:val="22"/>
          <w:szCs w:val="22"/>
        </w:rPr>
        <w:t xml:space="preserve">Work, Rules and Daily Life: Australia at War</w:t>
      </w:r>
      <w:r>
        <w:rPr>
          <w:i/>
          <w:iCs/>
          <w:color w:val="64748B"/>
          <w:sz w:val="20"/>
          <w:szCs w:val="20"/>
        </w:rPr>
        <w:t xml:space="preserve">  [written]</w:t>
      </w:r>
    </w:p>
    <w:tbl>
      <w:tblPr>
        <w:tblW w:type="pct" w:w="95%"/>
        <w:tblInd w:type="dxa" w:w="288"/>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tblGrid>
      <w:tr>
        <w:tc>
          <w:tcPr>
            <w:tcW w:type="pct" w:w="22%"/>
            <w:shd w:fill="F8FAFC" w:val="clear"/>
            <w:tcMar>
              <w:top w:type="dxa" w:w="40"/>
              <w:left w:type="dxa" w:w="80"/>
              <w:bottom w:type="dxa" w:w="40"/>
              <w:right w:type="dxa" w:w="60"/>
            </w:tcMar>
          </w:tcPr>
          <w:p>
            <w:r>
              <w:rPr>
                <w:b/>
                <w:bCs/>
                <w:color w:val="475569"/>
                <w:sz w:val="18"/>
                <w:szCs w:val="18"/>
              </w:rPr>
              <w:t xml:space="preserve">Scheduled</w:t>
            </w:r>
          </w:p>
        </w:tc>
        <w:tc>
          <w:tcPr>
            <w:tcW w:type="pct" w:w="78%"/>
            <w:tcMar>
              <w:top w:type="dxa" w:w="40"/>
              <w:left w:type="dxa" w:w="60"/>
              <w:bottom w:type="dxa" w:w="40"/>
              <w:right w:type="dxa" w:w="80"/>
            </w:tcMar>
          </w:tcPr>
          <w:p>
            <w:r>
              <w:rPr>
                <w:sz w:val="18"/>
                <w:szCs w:val="18"/>
              </w:rPr>
              <w:t xml:space="preserve">Term 1, Week 4</w:t>
            </w:r>
          </w:p>
        </w:tc>
      </w:tr>
      <w:tr>
        <w:tc>
          <w:tcPr>
            <w:tcW w:type="pct" w:w="22%"/>
            <w:shd w:fill="F8FAFC" w:val="clear"/>
            <w:tcMar>
              <w:top w:type="dxa" w:w="40"/>
              <w:left w:type="dxa" w:w="80"/>
              <w:bottom w:type="dxa" w:w="40"/>
              <w:right w:type="dxa" w:w="60"/>
            </w:tcMar>
          </w:tcPr>
          <w:p>
            <w:r>
              <w:rPr>
                <w:b/>
                <w:bCs/>
                <w:color w:val="475569"/>
                <w:sz w:val="18"/>
                <w:szCs w:val="18"/>
              </w:rPr>
              <w:t xml:space="preserve">Conditions</w:t>
            </w:r>
          </w:p>
        </w:tc>
        <w:tc>
          <w:tcPr>
            <w:tcW w:type="pct" w:w="78%"/>
            <w:tcMar>
              <w:top w:type="dxa" w:w="40"/>
              <w:left w:type="dxa" w:w="60"/>
              <w:bottom w:type="dxa" w:w="40"/>
              <w:right w:type="dxa" w:w="80"/>
            </w:tcMar>
          </w:tcPr>
          <w:p>
            <w:r>
              <w:rPr>
                <w:sz w:val="18"/>
                <w:szCs w:val="18"/>
              </w:rPr>
              <w:t xml:space="preserve">Time-bound (in-class) · 50 min</w:t>
            </w:r>
          </w:p>
        </w:tc>
      </w:tr>
    </w:tbl>
    <w:p>
      <w:pPr>
        <w:spacing w:before="60" w:after="60"/>
        <w:ind w:left="431"/>
      </w:pPr>
      <w:r>
        <w:rPr>
          <w:i/>
          <w:iCs/>
          <w:color w:val="475569"/>
          <w:sz w:val="20"/>
          <w:szCs w:val="20"/>
        </w:rPr>
        <w:t xml:space="preserve">Students complete the linked assessment "Work, Rules and Daily Life: Australia at War"; use its saved task and marking guide.</w:t>
      </w:r>
    </w:p>
    <w:p>
      <w:pPr>
        <w:pBdr>
          <w:bottom w:val="single" w:color="1E40AF" w:sz="12"/>
        </w:pBdr>
        <w:spacing w:before="400" w:after="200"/>
      </w:pPr>
      <w:r>
        <w:rPr>
          <w:b/>
          <w:bCs/>
          <w:color w:val="1E40AF"/>
          <w:sz w:val="28"/>
          <w:szCs w:val="28"/>
        </w:rPr>
        <w:t xml:space="preserve">❓ Inquiry Questions</w:t>
      </w:r>
    </w:p>
    <w:p>
      <w:pPr>
        <w:spacing w:after="120"/>
        <w:ind w:left="431"/>
      </w:pPr>
      <w:r>
        <w:rPr>
          <w:b/>
          <w:bCs/>
          <w:color w:val="1E40AF"/>
          <w:sz w:val="22"/>
          <w:szCs w:val="22"/>
        </w:rPr>
        <w:t xml:space="preserve">1.  </w:t>
      </w:r>
      <w:r>
        <w:rPr>
          <w:color w:val="1E293B"/>
          <w:sz w:val="22"/>
          <w:szCs w:val="22"/>
        </w:rPr>
        <w:t xml:space="preserve">How did overseas wartime developments change women's work and everyday life in Australia?</w:t>
      </w:r>
    </w:p>
    <w:p>
      <w:pPr>
        <w:spacing w:after="120"/>
        <w:ind w:left="431"/>
      </w:pPr>
      <w:r>
        <w:rPr>
          <w:b/>
          <w:bCs/>
          <w:color w:val="1E40AF"/>
          <w:sz w:val="22"/>
          <w:szCs w:val="22"/>
        </w:rPr>
        <w:t xml:space="preserve">2.  </w:t>
      </w:r>
      <w:r>
        <w:rPr>
          <w:color w:val="1E293B"/>
          <w:sz w:val="22"/>
          <w:szCs w:val="22"/>
        </w:rPr>
        <w:t xml:space="preserve">How did rationing and labour direction connect government decisions with household experiences?</w:t>
      </w:r>
    </w:p>
    <w:p>
      <w:pPr>
        <w:spacing w:after="120"/>
        <w:ind w:left="431"/>
      </w:pPr>
      <w:r>
        <w:rPr>
          <w:b/>
          <w:bCs/>
          <w:color w:val="1E40AF"/>
          <w:sz w:val="22"/>
          <w:szCs w:val="22"/>
        </w:rPr>
        <w:t xml:space="preserve">3.  </w:t>
      </w:r>
      <w:r>
        <w:rPr>
          <w:color w:val="1E293B"/>
          <w:sz w:val="22"/>
          <w:szCs w:val="22"/>
        </w:rPr>
        <w:t xml:space="preserve">How far did wartime changes challenge established inequalities and expectations?</w:t>
      </w:r>
    </w:p>
    <w:p>
      <w:pPr>
        <w:spacing w:after="100"/>
      </w:pPr>
    </w:p>
    <w:p>
      <w:pPr>
        <w:pBdr>
          <w:bottom w:val="single" w:color="1E40AF" w:sz="12"/>
        </w:pBdr>
        <w:spacing w:before="400" w:after="200"/>
      </w:pPr>
      <w:r>
        <w:rPr>
          <w:b/>
          <w:bCs/>
          <w:color w:val="1E40AF"/>
          <w:sz w:val="28"/>
          <w:szCs w:val="28"/>
        </w:rPr>
        <w:t xml:space="preserve">🔗 Prior Knowledge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CBD5E1" w:sz="1"/>
              <w:left w:val="single" w:color="CBD5E1" w:sz="1"/>
              <w:bottom w:val="single" w:color="CBD5E1" w:sz="1"/>
              <w:right w:val="single" w:color="CBD5E1" w:sz="1"/>
            </w:tcBorders>
            <w:shd w:fill="FEF3C7" w:val="clear"/>
            <w:tcMar>
              <w:top w:type="dxa" w:w="144"/>
              <w:left w:type="dxa" w:w="215"/>
              <w:bottom w:type="dxa" w:w="144"/>
              <w:right w:type="dxa" w:w="215"/>
            </w:tcMar>
          </w:tcPr>
          <w:p>
            <w:pPr>
              <w:spacing w:before="100" w:after="100"/>
            </w:pPr>
            <w:r>
              <w:rPr>
                <w:color w:val="1E293B"/>
                <w:sz w:val="22"/>
                <w:szCs w:val="22"/>
              </w:rPr>
              <w:t xml:space="preserve">Students should recognise the distinction between primary and secondary sources and have experience writing a paragraph supported by evidence. The unit explicitly teaches the necessary pre-1939 context, Second World War chronology, historical concepts and First World War comparison material rather than assuming detailed prior knowledge.</w:t>
            </w:r>
          </w:p>
        </w:tc>
      </w:tr>
    </w:tbl>
    <w:p>
      <w:pPr>
        <w:spacing w:after="100"/>
      </w:pPr>
    </w:p>
    <w:p>
      <w:pPr>
        <w:pBdr>
          <w:bottom w:val="single" w:color="1E40AF" w:sz="12"/>
        </w:pBdr>
        <w:spacing w:before="400" w:after="200"/>
      </w:pPr>
      <w:r>
        <w:rPr>
          <w:b/>
          <w:bCs/>
          <w:color w:val="1E40AF"/>
          <w:sz w:val="28"/>
          <w:szCs w:val="28"/>
        </w:rPr>
        <w:t xml:space="preserve">🏷️ Curriculum Alignment Codes</w:t>
      </w:r>
    </w:p>
    <w:p>
      <w:pPr>
        <w:spacing w:after="100"/>
      </w:pPr>
      <w:r>
        <w:rPr>
          <w:color w:val="64748B"/>
          <w:sz w:val="20"/>
          <w:szCs w:val="20"/>
        </w:rPr>
        <w:t xml:space="preserve">ASHASHIS1003  •  ASHASHIS1012</w:t>
      </w:r>
    </w:p>
    <w:p>
      <w:pPr>
        <w:pBdr>
          <w:bottom w:val="single" w:color="1E40AF" w:sz="12"/>
        </w:pBdr>
        <w:spacing w:before="400" w:after="200"/>
      </w:pPr>
      <w:r>
        <w:rPr>
          <w:b/>
          <w:bCs/>
          <w:color w:val="1E40AF"/>
          <w:sz w:val="28"/>
          <w:szCs w:val="28"/>
        </w:rPr>
        <w:t xml:space="preserve">📊 Unit Evaluation</w:t>
      </w:r>
    </w:p>
    <w:p>
      <w:pPr>
        <w:spacing w:after="200"/>
        <w:ind w:left="288" w:right="288"/>
      </w:pPr>
      <w:r>
        <w:rPr>
          <w:color w:val="1E293B"/>
          <w:sz w:val="22"/>
          <w:szCs w:val="22"/>
        </w:rPr>
        <w:t xml:space="preserve">Unit Evaluation Template:
• Were learning intentions achieved? Evidence?
• Which activities engaged students most?
• What would you change next time?
• How did the assessment evidence the achievement standard?
• Which students need follow-up?
• Resources to add or drop?</w:t>
      </w:r>
    </w:p>
    <w:p>
      <w:pPr>
        <w:spacing w:after="100"/>
      </w:pPr>
    </w:p>
    <w:p>
      <w:pPr>
        <w:spacing w:before="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1E40AF" w:sz="8"/>
              <w:left w:val="nil"/>
              <w:bottom w:val="nil"/>
              <w:right w:val="nil"/>
            </w:tcBorders>
            <w:shd w:fill="F8FAFC" w:val="clear"/>
            <w:tcMar>
              <w:top w:type="dxa" w:w="150"/>
              <w:left w:type="dxa" w:w="100"/>
              <w:bottom w:type="dxa" w:w="100"/>
              <w:right w:type="dxa" w:w="100"/>
            </w:tcMar>
          </w:tcPr>
          <w:p>
            <w:pPr>
              <w:spacing w:after="80"/>
              <w:jc w:val="center"/>
            </w:pPr>
            <w:r>
              <w:rPr>
                <w:i/>
                <w:iCs/>
                <w:color w:val="64748B"/>
                <w:sz w:val="18"/>
                <w:szCs w:val="18"/>
              </w:rPr>
              <w:t xml:space="preserve">Aligned to saved curriculum source</w:t>
            </w:r>
          </w:p>
          <w:p>
            <w:pPr>
              <w:jc w:val="center"/>
            </w:pPr>
            <w:r>
              <w:rPr>
                <w:color w:val="64748B"/>
                <w:sz w:val="18"/>
                <w:szCs w:val="18"/>
              </w:rPr>
              <w:t xml:space="preserve">Generated by </w:t>
            </w:r>
            <w:r>
              <w:rPr>
                <w:b/>
                <w:bCs/>
                <w:color w:val="1E40AF"/>
                <w:sz w:val="18"/>
                <w:szCs w:val="18"/>
              </w:rPr>
              <w:t xml:space="preserve">TeaCheese</w:t>
            </w:r>
            <w:r>
              <w:rPr>
                <w:color w:val="64748B"/>
                <w:sz w:val="18"/>
                <w:szCs w:val="18"/>
              </w:rPr>
              <w:t xml:space="preserve"> on 20 October 2026 at 10:38 am</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Normal">
    <w:name w:val="Normal"/>
    <w:basedOn w:val="Normal"/>
    <w:next w:val="Normal"/>
    <w:pPr>
      <w:spacing w:line="276"/>
    </w:pPr>
    <w:rPr>
      <w:rFonts w:ascii="Calibri" w:cs="Calibri" w:eastAsia="Calibri" w:hAnsi="Calibr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2026-10-20T00:38:37.808Z</dcterms:created>
  <dcterms:modified xsi:type="dcterms:W3CDTF">2026-10-20T00:38:37.808Z</dcterms:modified>
</cp:coreProperties>
</file>

<file path=docProps/custom.xml><?xml version="1.0" encoding="utf-8"?>
<Properties xmlns="http://schemas.openxmlformats.org/officeDocument/2006/custom-properties" xmlns:vt="http://schemas.openxmlformats.org/officeDocument/2006/docPropsVTypes"/>
</file>