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E3A5F"/>
          <w:sz w:val="36"/>
          <w:szCs w:val="36"/>
        </w:rPr>
        <w:t xml:space="preserve">Work, Rules and Daily Life: Australia at War</w:t>
      </w:r>
    </w:p>
    <w:tbl>
      <w:tblPr>
        <w:tblW w:type="pct" w:w="100%"/>
        <w:tblBorders>
          <w:top w:val="single" w:color="1E3A5F" w:sz="6"/>
          <w:left w:val="single" w:color="E2E8F0" w:sz="1"/>
          <w:bottom w:val="single" w:color="E2E8F0" w:sz="1"/>
          <w:right w:val="single" w:color="E2E8F0" w:sz="1"/>
          <w:insideH w:val="single" w:color="E2E8F0" w:sz="1"/>
          <w:insideV w:val="single" w:color="E2E8F0" w:sz="1"/>
        </w:tblBorders>
      </w:tblPr>
      <w:tblGrid>
        <w:gridCol w:w="100"/>
        <w:gridCol w:w="100"/>
      </w:tblGrid>
      <w:tr>
        <w:tc>
          <w:tcPr>
            <w:tcW w:type="pct" w:w="25%"/>
            <w:shd w:fill="F8FAFC" w:val="clear"/>
            <w:tcMar>
              <w:top w:type="dxa" w:w="60"/>
              <w:left w:type="dxa" w:w="120"/>
              <w:bottom w:type="dxa" w:w="60"/>
              <w:right w:type="dxa" w:w="80"/>
            </w:tcMar>
          </w:tcPr>
          <w:p>
            <w:r>
              <w:rPr>
                <w:b/>
                <w:bCs/>
                <w:color w:val="1E3A5F"/>
                <w:sz w:val="20"/>
                <w:szCs w:val="20"/>
              </w:rPr>
              <w:t xml:space="preserve">Subject</w:t>
            </w:r>
          </w:p>
        </w:tc>
        <w:tc>
          <w:tcPr>
            <w:tcW w:type="pct" w:w="75%"/>
            <w:tcMar>
              <w:top w:type="dxa" w:w="60"/>
              <w:left w:type="dxa" w:w="80"/>
              <w:bottom w:type="dxa" w:w="60"/>
              <w:right w:type="dxa" w:w="80"/>
            </w:tcMar>
          </w:tcPr>
          <w:p>
            <w:r>
              <w:rPr>
                <w:sz w:val="20"/>
                <w:szCs w:val="20"/>
              </w:rPr>
              <w:t xml:space="preserve">History</w:t>
            </w:r>
          </w:p>
        </w:tc>
      </w:tr>
      <w:tr>
        <w:tc>
          <w:tcPr>
            <w:tcW w:type="pct" w:w="25%"/>
            <w:shd w:fill="F8FAFC" w:val="clear"/>
            <w:tcMar>
              <w:top w:type="dxa" w:w="60"/>
              <w:left w:type="dxa" w:w="120"/>
              <w:bottom w:type="dxa" w:w="60"/>
              <w:right w:type="dxa" w:w="80"/>
            </w:tcMar>
          </w:tcPr>
          <w:p>
            <w:r>
              <w:rPr>
                <w:b/>
                <w:bCs/>
                <w:color w:val="1E3A5F"/>
                <w:sz w:val="20"/>
                <w:szCs w:val="20"/>
              </w:rPr>
              <w:t xml:space="preserve">Year Level</w:t>
            </w:r>
          </w:p>
        </w:tc>
        <w:tc>
          <w:tcPr>
            <w:tcW w:type="pct" w:w="75%"/>
            <w:tcMar>
              <w:top w:type="dxa" w:w="60"/>
              <w:left w:type="dxa" w:w="80"/>
              <w:bottom w:type="dxa" w:w="60"/>
              <w:right w:type="dxa" w:w="80"/>
            </w:tcMar>
          </w:tcPr>
          <w:p>
            <w:r>
              <w:rPr>
                <w:sz w:val="20"/>
                <w:szCs w:val="20"/>
              </w:rPr>
              <w:t xml:space="preserve">10</w:t>
            </w:r>
          </w:p>
        </w:tc>
      </w:tr>
      <w:tr>
        <w:tc>
          <w:tcPr>
            <w:tcW w:type="pct" w:w="25%"/>
            <w:shd w:fill="F8FAFC" w:val="clear"/>
            <w:tcMar>
              <w:top w:type="dxa" w:w="60"/>
              <w:left w:type="dxa" w:w="120"/>
              <w:bottom w:type="dxa" w:w="60"/>
              <w:right w:type="dxa" w:w="80"/>
            </w:tcMar>
          </w:tcPr>
          <w:p>
            <w:r>
              <w:rPr>
                <w:b/>
                <w:bCs/>
                <w:color w:val="1E3A5F"/>
                <w:sz w:val="20"/>
                <w:szCs w:val="20"/>
              </w:rPr>
              <w:t xml:space="preserve">Duration</w:t>
            </w:r>
          </w:p>
        </w:tc>
        <w:tc>
          <w:tcPr>
            <w:tcW w:type="pct" w:w="75%"/>
            <w:tcMar>
              <w:top w:type="dxa" w:w="60"/>
              <w:left w:type="dxa" w:w="80"/>
              <w:bottom w:type="dxa" w:w="60"/>
              <w:right w:type="dxa" w:w="80"/>
            </w:tcMar>
          </w:tcPr>
          <w:p>
            <w:r>
              <w:rPr>
                <w:sz w:val="20"/>
                <w:szCs w:val="20"/>
              </w:rPr>
              <w:t xml:space="preserve">50 minutes</w:t>
            </w:r>
          </w:p>
        </w:tc>
      </w:tr>
      <w:tr>
        <w:tc>
          <w:tcPr>
            <w:tcW w:type="pct" w:w="25%"/>
            <w:shd w:fill="F8FAFC" w:val="clear"/>
            <w:tcMar>
              <w:top w:type="dxa" w:w="60"/>
              <w:left w:type="dxa" w:w="120"/>
              <w:bottom w:type="dxa" w:w="60"/>
              <w:right w:type="dxa" w:w="80"/>
            </w:tcMar>
          </w:tcPr>
          <w:p>
            <w:r>
              <w:rPr>
                <w:b/>
                <w:bCs/>
                <w:color w:val="1E3A5F"/>
                <w:sz w:val="20"/>
                <w:szCs w:val="20"/>
              </w:rPr>
              <w:t xml:space="preserve">Word Count</w:t>
            </w:r>
          </w:p>
        </w:tc>
        <w:tc>
          <w:tcPr>
            <w:tcW w:type="pct" w:w="75%"/>
            <w:tcMar>
              <w:top w:type="dxa" w:w="60"/>
              <w:left w:type="dxa" w:w="80"/>
              <w:bottom w:type="dxa" w:w="60"/>
              <w:right w:type="dxa" w:w="80"/>
            </w:tcMar>
          </w:tcPr>
          <w:p>
            <w:r>
              <w:rPr>
                <w:sz w:val="20"/>
                <w:szCs w:val="20"/>
              </w:rPr>
              <w:t xml:space="preserve">400-500 words</w:t>
            </w:r>
          </w:p>
        </w:tc>
      </w:tr>
      <w:tr>
        <w:tc>
          <w:tcPr>
            <w:tcW w:type="pct" w:w="25%"/>
            <w:shd w:fill="F8FAFC" w:val="clear"/>
            <w:tcMar>
              <w:top w:type="dxa" w:w="60"/>
              <w:left w:type="dxa" w:w="120"/>
              <w:bottom w:type="dxa" w:w="60"/>
              <w:right w:type="dxa" w:w="80"/>
            </w:tcMar>
          </w:tcPr>
          <w:p>
            <w:r>
              <w:rPr>
                <w:b/>
                <w:bCs/>
                <w:color w:val="1E3A5F"/>
                <w:sz w:val="20"/>
                <w:szCs w:val="20"/>
              </w:rPr>
              <w:t xml:space="preserve">Text Type</w:t>
            </w:r>
          </w:p>
        </w:tc>
        <w:tc>
          <w:tcPr>
            <w:tcW w:type="pct" w:w="75%"/>
            <w:tcMar>
              <w:top w:type="dxa" w:w="60"/>
              <w:left w:type="dxa" w:w="80"/>
              <w:bottom w:type="dxa" w:w="60"/>
              <w:right w:type="dxa" w:w="80"/>
            </w:tcMar>
          </w:tcPr>
          <w:p>
            <w:r>
              <w:rPr>
                <w:sz w:val="20"/>
                <w:szCs w:val="20"/>
              </w:rPr>
              <w:t xml:space="preserve">explanation</w:t>
            </w:r>
          </w:p>
        </w:tc>
      </w:tr>
    </w:tbl>
    <w:p>
      <w:pPr>
        <w:spacing w:before="300" w:after="100"/>
      </w:pPr>
      <w:r>
        <w:rPr>
          <w:b/>
          <w:bCs/>
          <w:color w:val="1E3A5F"/>
          <w:sz w:val="24"/>
          <w:szCs w:val="24"/>
        </w:rPr>
        <w:t xml:space="preserve">CONDITIONS</w:t>
      </w:r>
    </w:p>
    <w:tbl>
      <w:tblPr>
        <w:tblW w:type="pct" w:w="100%"/>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tblGrid>
      <w:tr>
        <w:tc>
          <w:tcPr>
            <w:tcW w:type="pct" w:w="30%"/>
            <w:shd w:fill="F8FAFC"/>
            <w:tcMar>
              <w:top w:type="dxa" w:w="50"/>
              <w:left w:type="dxa" w:w="80"/>
              <w:bottom w:type="dxa" w:w="50"/>
              <w:right w:type="dxa" w:w="60"/>
            </w:tcMar>
          </w:tcPr>
          <w:p>
            <w:r>
              <w:rPr>
                <w:b/>
                <w:bCs/>
                <w:sz w:val="20"/>
                <w:szCs w:val="20"/>
              </w:rPr>
              <w:t xml:space="preserve">Duration</w:t>
            </w:r>
          </w:p>
        </w:tc>
        <w:tc>
          <w:tcPr>
            <w:tcW w:type="pct" w:w="70%"/>
            <w:tcMar>
              <w:top w:type="dxa" w:w="50"/>
              <w:left w:type="dxa" w:w="80"/>
              <w:bottom w:type="dxa" w:w="50"/>
              <w:right w:type="dxa" w:w="60"/>
            </w:tcMar>
          </w:tcPr>
          <w:p>
            <w:r>
              <w:rPr>
                <w:sz w:val="20"/>
                <w:szCs w:val="20"/>
              </w:rPr>
              <w:t xml:space="preserve">50 minutes</w:t>
            </w:r>
          </w:p>
        </w:tc>
      </w:tr>
      <w:tr>
        <w:tc>
          <w:tcPr>
            <w:tcW w:type="pct" w:w="30%"/>
            <w:shd w:fill="F8FAFC"/>
            <w:tcMar>
              <w:top w:type="dxa" w:w="50"/>
              <w:left w:type="dxa" w:w="80"/>
              <w:bottom w:type="dxa" w:w="50"/>
              <w:right w:type="dxa" w:w="60"/>
            </w:tcMar>
          </w:tcPr>
          <w:p>
            <w:r>
              <w:rPr>
                <w:b/>
                <w:bCs/>
                <w:sz w:val="20"/>
                <w:szCs w:val="20"/>
              </w:rPr>
              <w:t xml:space="preserve">Word Count</w:t>
            </w:r>
          </w:p>
        </w:tc>
        <w:tc>
          <w:tcPr>
            <w:tcW w:type="pct" w:w="70%"/>
            <w:tcMar>
              <w:top w:type="dxa" w:w="50"/>
              <w:left w:type="dxa" w:w="80"/>
              <w:bottom w:type="dxa" w:w="50"/>
              <w:right w:type="dxa" w:w="60"/>
            </w:tcMar>
          </w:tcPr>
          <w:p>
            <w:r>
              <w:rPr>
                <w:sz w:val="20"/>
                <w:szCs w:val="20"/>
              </w:rPr>
              <w:t xml:space="preserve">400–500 words</w:t>
            </w:r>
          </w:p>
        </w:tc>
      </w:tr>
      <w:tr>
        <w:tc>
          <w:tcPr>
            <w:tcW w:type="pct" w:w="30%"/>
            <w:shd w:fill="F8FAFC"/>
            <w:tcMar>
              <w:top w:type="dxa" w:w="50"/>
              <w:left w:type="dxa" w:w="80"/>
              <w:bottom w:type="dxa" w:w="50"/>
              <w:right w:type="dxa" w:w="60"/>
            </w:tcMar>
          </w:tcPr>
          <w:p>
            <w:r>
              <w:rPr>
                <w:b/>
                <w:bCs/>
                <w:sz w:val="20"/>
                <w:szCs w:val="20"/>
              </w:rPr>
              <w:t xml:space="preserve">Setting</w:t>
            </w:r>
          </w:p>
        </w:tc>
        <w:tc>
          <w:tcPr>
            <w:tcW w:type="pct" w:w="70%"/>
            <w:tcMar>
              <w:top w:type="dxa" w:w="50"/>
              <w:left w:type="dxa" w:w="80"/>
              <w:bottom w:type="dxa" w:w="50"/>
              <w:right w:type="dxa" w:w="60"/>
            </w:tcMar>
          </w:tcPr>
          <w:p>
            <w:r>
              <w:rPr>
                <w:sz w:val="20"/>
                <w:szCs w:val="20"/>
              </w:rPr>
              <w:t xml:space="preserve">supervised</w:t>
            </w:r>
          </w:p>
        </w:tc>
      </w:tr>
      <w:tr>
        <w:tc>
          <w:tcPr>
            <w:tcW w:type="pct" w:w="30%"/>
            <w:shd w:fill="F8FAFC"/>
            <w:tcMar>
              <w:top w:type="dxa" w:w="50"/>
              <w:left w:type="dxa" w:w="80"/>
              <w:bottom w:type="dxa" w:w="50"/>
              <w:right w:type="dxa" w:w="60"/>
            </w:tcMar>
          </w:tcPr>
          <w:p>
            <w:r>
              <w:rPr>
                <w:b/>
                <w:bCs/>
                <w:sz w:val="20"/>
                <w:szCs w:val="20"/>
              </w:rPr>
              <w:t xml:space="preserve">Mode</w:t>
            </w:r>
          </w:p>
        </w:tc>
        <w:tc>
          <w:tcPr>
            <w:tcW w:type="pct" w:w="70%"/>
            <w:tcMar>
              <w:top w:type="dxa" w:w="50"/>
              <w:left w:type="dxa" w:w="80"/>
              <w:bottom w:type="dxa" w:w="50"/>
              <w:right w:type="dxa" w:w="60"/>
            </w:tcMar>
          </w:tcPr>
          <w:p>
            <w:r>
              <w:rPr>
                <w:sz w:val="20"/>
                <w:szCs w:val="20"/>
              </w:rPr>
              <w:t xml:space="preserve">Time-bound (exam conditions)</w:t>
            </w:r>
          </w:p>
        </w:tc>
      </w:tr>
      <w:tr>
        <w:tc>
          <w:tcPr>
            <w:tcW w:type="pct" w:w="30%"/>
            <w:shd w:fill="F8FAFC"/>
            <w:tcMar>
              <w:top w:type="dxa" w:w="50"/>
              <w:left w:type="dxa" w:w="80"/>
              <w:bottom w:type="dxa" w:w="50"/>
              <w:right w:type="dxa" w:w="60"/>
            </w:tcMar>
          </w:tcPr>
          <w:p>
            <w:r>
              <w:rPr>
                <w:b/>
                <w:bCs/>
                <w:sz w:val="20"/>
                <w:szCs w:val="20"/>
              </w:rPr>
              <w:t xml:space="preserve">Drafting</w:t>
            </w:r>
          </w:p>
        </w:tc>
        <w:tc>
          <w:tcPr>
            <w:tcW w:type="pct" w:w="70%"/>
            <w:tcMar>
              <w:top w:type="dxa" w:w="50"/>
              <w:left w:type="dxa" w:w="80"/>
              <w:bottom w:type="dxa" w:w="50"/>
              <w:right w:type="dxa" w:w="60"/>
            </w:tcMar>
          </w:tcPr>
          <w:p>
            <w:r>
              <w:rPr>
                <w:sz w:val="20"/>
                <w:szCs w:val="20"/>
              </w:rPr>
              <w:t xml:space="preserve">No drafting</w:t>
            </w:r>
          </w:p>
        </w:tc>
      </w:tr>
    </w:tbl>
    <w:p>
      <w:pPr>
        <w:pBdr>
          <w:bottom w:val="single" w:color="1E3A5F" w:sz="12"/>
        </w:pBdr>
        <w:spacing w:before="200" w:after="100"/>
      </w:pPr>
      <w:r>
        <w:rPr>
          <w:b/>
          <w:bCs/>
          <w:color w:val="1E3A5F"/>
          <w:sz w:val="28"/>
          <w:szCs w:val="28"/>
        </w:rPr>
        <w:t xml:space="preserve">ASSESSMENT OVERVIEW</w:t>
      </w:r>
    </w:p>
    <w:p>
      <w:pPr>
        <w:spacing w:before="150" w:after="60"/>
      </w:pPr>
      <w:r>
        <w:rPr>
          <w:b/>
          <w:bCs/>
          <w:color w:val="1E3A5F"/>
          <w:sz w:val="22"/>
          <w:szCs w:val="22"/>
        </w:rPr>
        <w:t xml:space="preserve">PURPOSE</w:t>
      </w:r>
    </w:p>
    <w:p>
      <w:pPr>
        <w:shd w:fill="F8FAFC"/>
        <w:spacing w:after="100"/>
      </w:pPr>
      <w:r>
        <w:rPr>
          <w:i/>
          <w:iCs/>
        </w:rPr>
        <w:t xml:space="preserve">This summative assessment contributes to your reported A–E judgement in History. It shows how you connect historical evidence with an argument about change and continuity.</w:t>
      </w:r>
    </w:p>
    <w:p>
      <w:pPr>
        <w:pBdr>
          <w:bottom w:val="single" w:color="0284C7" w:sz="6"/>
        </w:pBdr>
        <w:spacing w:before="250" w:after="80"/>
      </w:pPr>
      <w:r>
        <w:rPr>
          <w:b/>
          <w:bCs/>
          <w:color w:val="1E3A5F"/>
          <w:sz w:val="24"/>
          <w:szCs w:val="24"/>
        </w:rPr>
        <w:t xml:space="preserve">Context</w:t>
      </w:r>
    </w:p>
    <w:p>
      <w:pPr>
        <w:spacing w:after="80"/>
      </w:pPr>
      <w:r>
        <w:t xml:space="preserve">Paid work, shopping and family duties shape everyday life in Australia. During World War II, these familiar activities became part of a national war effort. Your history class is considering how people experienced those years beyond the battlefield. Women's wartime work and government controls offer connected ways to investigate this question. The challenge is deciding how far daily life changed, while recognising what continued. Your explanation will draw on learning from this unit, rather than new research. It will connect national decisions with people's experiences between 1939 and 1945.</w:t>
      </w:r>
    </w:p>
    <w:p>
      <w:pPr>
        <w:pBdr>
          <w:bottom w:val="single" w:color="0284C7" w:sz="6"/>
        </w:pBdr>
        <w:spacing w:before="250" w:after="80"/>
      </w:pPr>
      <w:r>
        <w:rPr>
          <w:b/>
          <w:bCs/>
          <w:color w:val="1E3A5F"/>
          <w:sz w:val="24"/>
          <w:szCs w:val="24"/>
        </w:rPr>
        <w:t xml:space="preserve">Task</w:t>
      </w:r>
    </w:p>
    <w:p>
      <w:pPr>
        <w:spacing w:after="150"/>
      </w:pPr>
      <w:r>
        <w:t xml:space="preserve">Evaluate the following claim with reference to women's wartime work and government controls. ‘World War II transformed everyday life on the Australian home front.’ Argue your position in one historical explanation of 400–500 words. Organise it into three connected sections. Your explanation should connect social, economic and political experiences with wartime events, including developments overseas. Your evidence must come from class learning, with sources acknowledged by name or description. You have 50 supervised minutes in Week 4, with one individual submission and no homework, extra research or devices.</w:t>
      </w:r>
    </w:p>
    <w:p>
      <w:pPr>
        <w:spacing w:before="100" w:after="80"/>
      </w:pPr>
      <w:r>
        <w:rPr>
          <w:b/>
          <w:bCs/>
        </w:rPr>
        <w:t xml:space="preserve">To complete this task, you must:</w:t>
      </w:r>
    </w:p>
    <w:p>
      <w:pPr>
        <w:spacing w:after="60"/>
        <w:ind w:left="360"/>
      </w:pPr>
      <w:r>
        <w:t xml:space="preserve">1. </w:t>
      </w:r>
      <w:r>
        <w:t xml:space="preserve">Analyse women's wartime work as the opening part of your explanation.</w:t>
      </w:r>
    </w:p>
    <w:p>
      <w:pPr>
        <w:spacing w:after="60"/>
        <w:ind w:left="360"/>
      </w:pPr>
      <w:r>
        <w:t xml:space="preserve">2. </w:t>
      </w:r>
      <w:r>
        <w:t xml:space="preserve">Discuss rationing and labour direction as connected influences on everyday life.</w:t>
      </w:r>
    </w:p>
    <w:p>
      <w:pPr>
        <w:spacing w:after="60"/>
        <w:ind w:left="360"/>
      </w:pPr>
      <w:r>
        <w:t xml:space="preserve">3. </w:t>
      </w:r>
      <w:r>
        <w:t xml:space="preserve">Substantiate your overall judgement through evidence and a competing interpretation; formal referencing is not required.</w:t>
      </w:r>
    </w:p>
    <w:p>
      <w:pPr>
        <w:pBdr>
          <w:bottom w:val="single" w:color="0284C7" w:sz="6"/>
        </w:pBdr>
        <w:spacing w:before="250" w:after="80"/>
      </w:pPr>
      <w:r>
        <w:rPr>
          <w:b/>
          <w:bCs/>
          <w:color w:val="1E3A5F"/>
          <w:sz w:val="24"/>
          <w:szCs w:val="24"/>
        </w:rPr>
        <w:t xml:space="preserve">Response Structure</w:t>
      </w:r>
    </w:p>
    <w:p>
      <w:pPr>
        <w:spacing w:before="200" w:after="50"/>
      </w:pPr>
      <w:r>
        <w:rPr>
          <w:b/>
          <w:bCs/>
        </w:rPr>
        <w:t xml:space="preserve">Section 1: Women's Work and Wartime Demands (about 170 words)</w:t>
      </w:r>
      <w:r>
        <w:rPr>
          <w:i/>
          <w:iCs/>
          <w:color w:val="666666"/>
        </w:rPr>
        <w:t xml:space="preserve"> [AC9HH10K04, AC9HH10S08, ASHASHIS1003, ASHASHIS1012]</w:t>
      </w:r>
    </w:p>
    <w:p>
      <w:pPr>
        <w:spacing w:after="100"/>
        <w:ind w:left="360"/>
      </w:pPr>
      <w:r>
        <w:t xml:space="preserve">Analyse how wartime demands affected women's work and social roles, linking Australian experiences with developments overseas. Argue your opening position through specific evidence remembered from class.</w:t>
      </w:r>
    </w:p>
    <w:p>
      <w:pPr>
        <w:spacing w:after="30"/>
        <w:ind w:left="720"/>
      </w:pPr>
      <w:r>
        <w:rPr>
          <w:i/>
          <w:iCs/>
        </w:rPr>
        <w:t xml:space="preserve">   → </w:t>
      </w:r>
      <w:r>
        <w:rPr>
          <w:i/>
          <w:iCs/>
        </w:rPr>
        <w:t xml:space="preserve">The extent of change in women's work can be judged by…</w:t>
      </w:r>
    </w:p>
    <w:p>
      <w:pPr>
        <w:spacing w:before="200" w:after="50"/>
      </w:pPr>
      <w:r>
        <w:rPr>
          <w:b/>
          <w:bCs/>
        </w:rPr>
        <w:t xml:space="preserve">Section 2: Rationing, Labour Direction and Daily Choices (about 170 words)</w:t>
      </w:r>
      <w:r>
        <w:rPr>
          <w:i/>
          <w:iCs/>
          <w:color w:val="666666"/>
        </w:rPr>
        <w:t xml:space="preserve"> [AC9HH10K04, AC9HH10S08, ASHASHIS1003, ASHASHIS1012]</w:t>
      </w:r>
    </w:p>
    <w:p>
      <w:pPr>
        <w:spacing w:after="100"/>
        <w:ind w:left="360"/>
      </w:pPr>
      <w:r>
        <w:t xml:space="preserve">Analyse how rationing and labour direction affected daily routines and women's wartime work. Synthesise evidence remembered from class sources to explain the links between government decisions and personal experiences.</w:t>
      </w:r>
    </w:p>
    <w:p>
      <w:pPr>
        <w:spacing w:after="30"/>
        <w:ind w:left="720"/>
      </w:pPr>
      <w:r>
        <w:rPr>
          <w:i/>
          <w:iCs/>
        </w:rPr>
        <w:t xml:space="preserve">   → </w:t>
      </w:r>
      <w:r>
        <w:rPr>
          <w:i/>
          <w:iCs/>
        </w:rPr>
        <w:t xml:space="preserve">The influence of government controls is evident in…</w:t>
      </w:r>
    </w:p>
    <w:p>
      <w:pPr>
        <w:spacing w:before="200" w:after="50"/>
      </w:pPr>
      <w:r>
        <w:rPr>
          <w:b/>
          <w:bCs/>
        </w:rPr>
        <w:t xml:space="preserve">Section 3: Change and Continuity Across the Home Front (about 160 words)</w:t>
      </w:r>
      <w:r>
        <w:rPr>
          <w:i/>
          <w:iCs/>
          <w:color w:val="666666"/>
        </w:rPr>
        <w:t xml:space="preserve"> [AC9HH10K04, AC9HH10S08, ASHASHIS1003, ASHASHIS1012]</w:t>
      </w:r>
    </w:p>
    <w:p>
      <w:pPr>
        <w:spacing w:after="100"/>
        <w:ind w:left="360"/>
      </w:pPr>
      <w:r>
        <w:t xml:space="preserve">Evaluate the claim by connecting a change and a continuity across women's work and government controls. Critique a competing interpretation through evidence, ending with your overall judgement.</w:t>
      </w:r>
    </w:p>
    <w:p>
      <w:pPr>
        <w:spacing w:after="30"/>
        <w:ind w:left="720"/>
      </w:pPr>
      <w:r>
        <w:rPr>
          <w:i/>
          <w:iCs/>
        </w:rPr>
        <w:t xml:space="preserve">   → </w:t>
      </w:r>
      <w:r>
        <w:rPr>
          <w:i/>
          <w:iCs/>
        </w:rPr>
        <w:t xml:space="preserve">The claim is convincing to the extent that…</w:t>
      </w:r>
    </w:p>
    <w:p>
      <w:pPr>
        <w:spacing w:after="30"/>
        <w:ind w:left="720"/>
      </w:pPr>
      <w:r>
        <w:rPr>
          <w:i/>
          <w:iCs/>
        </w:rPr>
        <w:t xml:space="preserve">   → </w:t>
      </w:r>
      <w:r>
        <w:rPr>
          <w:i/>
          <w:iCs/>
        </w:rPr>
        <w:t xml:space="preserve">A different interpretation gives greater weight to…</w:t>
      </w:r>
    </w:p>
    <w:p>
      <w:pPr>
        <w:pBdr>
          <w:bottom w:val="single" w:color="0284C7" w:sz="6"/>
        </w:pBdr>
        <w:spacing w:before="250" w:after="80"/>
      </w:pPr>
      <w:r>
        <w:rPr>
          <w:b/>
          <w:bCs/>
          <w:color w:val="1E3A5F"/>
          <w:sz w:val="24"/>
          <w:szCs w:val="24"/>
        </w:rPr>
        <w:t xml:space="preserve">Submission Checklist</w:t>
      </w:r>
    </w:p>
    <w:p>
      <w:pPr>
        <w:spacing w:after="50"/>
        <w:ind w:left="360"/>
      </w:pPr>
      <w:r>
        <w:t xml:space="preserve">☐ </w:t>
      </w:r>
      <w:r>
        <w:t xml:space="preserve">Completed written response (400–500 words)</w:t>
      </w:r>
    </w:p>
    <w:p>
      <w:pPr>
        <w:pBdr>
          <w:bottom w:val="single" w:color="1E3A5F" w:sz="8"/>
        </w:pBdr>
        <w:spacing w:before="240" w:after="80"/>
      </w:pPr>
      <w:r>
        <w:rPr>
          <w:b/>
          <w:bCs/>
          <w:color w:val="1E3A5F"/>
          <w:sz w:val="24"/>
          <w:szCs w:val="24"/>
        </w:rPr>
        <w:t xml:space="preserve">WHAT YOU NEED TO SHOW</w:t>
      </w:r>
    </w:p>
    <w:p>
      <w:pPr>
        <w:spacing w:after="50"/>
        <w:ind w:left="360"/>
      </w:pPr>
      <w:r>
        <w:t xml:space="preserve">✔ </w:t>
      </w:r>
      <w:r>
        <w:t xml:space="preserve">I can describe how wartime work and government decisions changed Australian lives, while identifying what continued.</w:t>
      </w:r>
    </w:p>
    <w:p>
      <w:pPr>
        <w:spacing w:after="50"/>
        <w:ind w:left="360"/>
      </w:pPr>
      <w:r>
        <w:t xml:space="preserve">✔ </w:t>
      </w:r>
      <w:r>
        <w:t xml:space="preserve">I can connect evidence remembered from class sources to explain events and support my main argument using historical terms.</w:t>
      </w:r>
    </w:p>
    <w:p>
      <w:pPr>
        <w:pStyle w:val="Heading2"/>
        <w:pageBreakBefore/>
        <w:spacing w:before="600" w:after="200"/>
      </w:pPr>
      <w:r>
        <w:t xml:space="preserve">Marking Guide</w:t>
      </w:r>
    </w:p>
    <w:tbl>
      <w:tblPr>
        <w:tblW w:type="pct" w:w="100%"/>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gridCol w:w="100"/>
        <w:gridCol w:w="100"/>
        <w:gridCol w:w="100"/>
        <w:gridCol w:w="100"/>
      </w:tblGrid>
      <w:tr>
        <w:trPr>
          <w:tblHeader/>
        </w:trPr>
        <w:tc>
          <w:tcPr>
            <w:tcW w:type="pct" w:w="18%"/>
            <w:shd w:fill="EDEDE9"/>
            <w:tcMar>
              <w:top w:type="dxa" w:w="120"/>
              <w:left w:type="dxa" w:w="100"/>
              <w:bottom w:type="dxa" w:w="120"/>
              <w:right w:type="dxa" w:w="100"/>
            </w:tcMar>
            <w:vAlign w:val="center"/>
          </w:tcPr>
          <w:p>
            <w:pPr>
              <w:jc w:val="center"/>
            </w:pPr>
            <w:r>
              <w:rPr>
                <w:b/>
                <w:bCs/>
                <w:color w:val="1F2937"/>
                <w:sz w:val="22"/>
                <w:szCs w:val="22"/>
              </w:rPr>
              <w:t xml:space="preserve">Criteria</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A</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B</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C</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D</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E</w:t>
            </w:r>
          </w:p>
        </w:tc>
      </w:tr>
      <w:tr>
        <w:tc>
          <w:tcPr>
            <w:shd w:fill="F8FAFC"/>
            <w:tcMar>
              <w:top w:type="dxa" w:w="100"/>
              <w:left w:type="dxa" w:w="120"/>
              <w:bottom w:type="dxa" w:w="100"/>
              <w:right w:type="dxa" w:w="80"/>
            </w:tcMar>
            <w:vAlign w:val="center"/>
          </w:tcPr>
          <w:p>
            <w:r>
              <w:rPr>
                <w:b/>
                <w:bCs/>
                <w:color w:val="1E3A5F"/>
                <w:sz w:val="20"/>
                <w:szCs w:val="20"/>
              </w:rPr>
              <w:t xml:space="preserve">Knowledge and understanding</w:t>
            </w:r>
          </w:p>
          <w:p>
            <w:r>
              <w:rPr>
                <w:i/>
                <w:iCs/>
                <w:color w:val="64748B"/>
                <w:sz w:val="16"/>
                <w:szCs w:val="16"/>
              </w:rPr>
              <w:t xml:space="preserve">(50%)</w:t>
            </w:r>
          </w:p>
        </w:tc>
        <w:tc>
          <w:tcPr>
            <w:shd w:fill="FFFFFF"/>
            <w:tcMar>
              <w:top w:type="dxa" w:w="100"/>
              <w:left w:type="dxa" w:w="80"/>
              <w:bottom w:type="dxa" w:w="100"/>
              <w:right w:type="dxa" w:w="80"/>
            </w:tcMar>
            <w:vAlign w:val="top"/>
          </w:tcPr>
          <w:p>
            <w:pPr>
              <w:spacing w:after="0"/>
            </w:pPr>
            <w:r>
              <w:t xml:space="preserve">Students describe at least 4 social, cultural, economic and/or political aspects, including international developments, related to the changes and continuities in Australian society over this historical period, with reference to the effects of the Second World War on the changing roles of women in Australia during the home front, 1939–1945.</w:t>
            </w:r>
          </w:p>
        </w:tc>
        <w:tc>
          <w:tcPr>
            <w:shd w:fill="FFFFFF"/>
            <w:tcMar>
              <w:top w:type="dxa" w:w="100"/>
              <w:left w:type="dxa" w:w="80"/>
              <w:bottom w:type="dxa" w:w="100"/>
              <w:right w:type="dxa" w:w="80"/>
            </w:tcMar>
            <w:vAlign w:val="top"/>
          </w:tcPr>
          <w:p>
            <w:pPr>
              <w:spacing w:after="0"/>
            </w:pPr>
            <w:r>
              <w:t xml:space="preserve">Students describe at least 3 social, cultural, economic and/or political aspects, including some international developments, related to the changes and continuities in Australian society over this historical period, with reference to some effects of the Second World War on women's roles in Australia on the home front, 1939–1945.</w:t>
            </w:r>
          </w:p>
        </w:tc>
        <w:tc>
          <w:tcPr>
            <w:shd w:fill="FFFFFF"/>
            <w:tcMar>
              <w:top w:type="dxa" w:w="100"/>
              <w:left w:type="dxa" w:w="80"/>
              <w:bottom w:type="dxa" w:w="100"/>
              <w:right w:type="dxa" w:w="80"/>
            </w:tcMar>
            <w:vAlign w:val="top"/>
          </w:tcPr>
          <w:p>
            <w:pPr>
              <w:spacing w:after="0"/>
            </w:pPr>
            <w:r>
              <w:t xml:space="preserve">They describe social, cultural, economic and/or political aspects, including international developments, related to the changes and continuities in Australian society over this historical period.</w:t>
            </w:r>
          </w:p>
        </w:tc>
        <w:tc>
          <w:tcPr>
            <w:shd w:fill="FFFFFF"/>
            <w:tcMar>
              <w:top w:type="dxa" w:w="100"/>
              <w:left w:type="dxa" w:w="80"/>
              <w:bottom w:type="dxa" w:w="100"/>
              <w:right w:type="dxa" w:w="80"/>
            </w:tcMar>
            <w:vAlign w:val="top"/>
          </w:tcPr>
          <w:p>
            <w:pPr>
              <w:spacing w:after="0"/>
            </w:pPr>
            <w:r>
              <w:t xml:space="preserve">Students describe social, cultural, economic and/or political aspects, including international developments, related to the changes and continuities in Australian society over this historical period, for one or two of the named aspects and in familiar contexts.</w:t>
            </w:r>
          </w:p>
        </w:tc>
        <w:tc>
          <w:tcPr>
            <w:shd w:fill="FFFFFF"/>
            <w:tcMar>
              <w:top w:type="dxa" w:w="100"/>
              <w:left w:type="dxa" w:w="80"/>
              <w:bottom w:type="dxa" w:w="100"/>
              <w:right w:type="dxa" w:w="80"/>
            </w:tcMar>
            <w:vAlign w:val="top"/>
          </w:tcPr>
          <w:p>
            <w:pPr>
              <w:spacing w:after="0"/>
            </w:pPr>
            <w:r>
              <w:t xml:space="preserve">Students describe social, cultural, economic and/or political aspects, including international developments, related to the changes and continuities in Australian society over this historical period, for one of the named aspects and in highly structured, familiar contexts.</w:t>
            </w:r>
          </w:p>
        </w:tc>
      </w:tr>
      <w:tr>
        <w:tc>
          <w:tcPr>
            <w:shd w:fill="F8FAFC"/>
            <w:tcMar>
              <w:top w:type="dxa" w:w="100"/>
              <w:left w:type="dxa" w:w="120"/>
              <w:bottom w:type="dxa" w:w="100"/>
              <w:right w:type="dxa" w:w="80"/>
            </w:tcMar>
            <w:vAlign w:val="center"/>
          </w:tcPr>
          <w:p>
            <w:r>
              <w:rPr>
                <w:b/>
                <w:bCs/>
                <w:color w:val="1E3A5F"/>
                <w:sz w:val="20"/>
                <w:szCs w:val="20"/>
              </w:rPr>
              <w:t xml:space="preserve">Skills</w:t>
            </w:r>
          </w:p>
          <w:p>
            <w:r>
              <w:rPr>
                <w:i/>
                <w:iCs/>
                <w:color w:val="64748B"/>
                <w:sz w:val="16"/>
                <w:szCs w:val="16"/>
              </w:rPr>
              <w:t xml:space="preserve">(50%)</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a range of sources on women's wartime work and government controls on everyday life in the Australian home front, 1939–1945, where different possibilities in interpretation are present.</w:t>
            </w:r>
          </w:p>
        </w:tc>
        <w:tc>
          <w:tcPr>
            <w:shd w:fill="FFFFFF"/>
            <w:tcMar>
              <w:top w:type="dxa" w:w="100"/>
              <w:left w:type="dxa" w:w="80"/>
              <w:bottom w:type="dxa" w:w="100"/>
              <w:right w:type="dxa" w:w="80"/>
            </w:tcMar>
            <w:vAlign w:val="top"/>
          </w:tcPr>
          <w:p>
            <w:pPr>
              <w:spacing w:after="0"/>
            </w:pPr>
            <w:r>
              <w:t xml:space="preserve">Students use historical knowledge, concepts and terms to clearly develop descriptions, explanations and historical arguments that synthesise evidence from two to three sources on selected aspects of home front life in Australia, 1939–1945, with occasional differing interpretations considered.</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sources.</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sources, for some of the examples and in familiar contexts, with coverage of the evidence confined to its most familiar part.</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sources, for one of the examples and in highly structured, familiar contexts, with coverage of the evidence confined to a single element of its most familiar part.</w:t>
            </w:r>
          </w:p>
        </w:tc>
      </w:tr>
    </w:tbl>
    <w:p>
      <w:pPr>
        <w:spacing w:before="120" w:after="120"/>
      </w:pPr>
      <w:r>
        <w:rPr>
          <w:i/>
          <w:iCs/>
          <w:color w:val="64748B"/>
          <w:sz w:val="18"/>
          <w:szCs w:val="18"/>
        </w:rPr>
        <w:t xml:space="preserve">C is the achievement standard.</w:t>
      </w:r>
    </w:p>
    <w:p>
      <w:pPr>
        <w:spacing w:before="400" w:after="100"/>
      </w:pPr>
      <w:r>
        <w:rPr>
          <w:b/>
          <w:bCs/>
          <w:color w:val="1E3A5F"/>
          <w:sz w:val="24"/>
          <w:szCs w:val="24"/>
        </w:rPr>
        <w:t xml:space="preserve">How this marking guide was built</w:t>
      </w:r>
    </w:p>
    <w:p>
      <w:pPr>
        <w:spacing w:after="80"/>
      </w:pPr>
      <w:r>
        <w:rPr>
          <w:b w:val="false"/>
          <w:bCs w:val="false"/>
          <w:i w:val="false"/>
          <w:iCs w:val="false"/>
          <w:color w:val="1E293B"/>
          <w:sz w:val="20"/>
          <w:szCs w:val="20"/>
        </w:rPr>
        <w:t xml:space="preserve">Assessment theme: World War II and the Australian home front: women's wartime work and government controls on everyday life, 1939–1945</w:t>
      </w:r>
    </w:p>
    <w:p>
      <w:pPr>
        <w:spacing w:after="80"/>
      </w:pPr>
      <w:r>
        <w:rPr>
          <w:b w:val="false"/>
          <w:bCs w:val="false"/>
          <w:i/>
          <w:iCs/>
          <w:color w:val="64748B"/>
          <w:sz w:val="18"/>
          <w:szCs w:val="18"/>
        </w:rPr>
        <w:t xml:space="preserve">You chose this theme.</w:t>
      </w:r>
    </w:p>
    <w:p>
      <w:pPr>
        <w:spacing w:after="80"/>
      </w:pPr>
      <w:r>
        <w:rPr>
          <w:b w:val="false"/>
          <w:bCs w:val="false"/>
          <w:i w:val="false"/>
          <w:iCs w:val="false"/>
          <w:color w:val="1E293B"/>
          <w:sz w:val="20"/>
          <w:szCs w:val="20"/>
        </w:rPr>
        <w:t xml:space="preserve">This guide passed the band check when it was locked on 20 October 2026.</w:t>
      </w:r>
    </w:p>
    <w:p>
      <w:pPr>
        <w:spacing w:before="120" w:after="200"/>
      </w:pPr>
      <w:r>
        <w:rPr>
          <w:i/>
          <w:iCs/>
          <w:color w:val="64748B"/>
          <w:sz w:val="18"/>
          <w:szCs w:val="18"/>
        </w:rPr>
        <w:t xml:space="preserve">The C band is the achievement standard as written. A and B extend it using only the curriculum content listed below; D and E reduce it.</w:t>
      </w:r>
    </w:p>
    <w:p>
      <w:pPr>
        <w:spacing w:before="250" w:after="100"/>
      </w:pPr>
      <w:r>
        <w:rPr>
          <w:b/>
          <w:bCs/>
          <w:color w:val="1E293B"/>
          <w:sz w:val="22"/>
          <w:szCs w:val="22"/>
        </w:rPr>
        <w:t xml:space="preserve">Knowledge and understanding</w:t>
      </w:r>
      <w:r>
        <w:rPr>
          <w:color w:val="64748B"/>
          <w:sz w:val="18"/>
          <w:szCs w:val="18"/>
        </w:rPr>
        <w:t xml:space="preserve">  ·  50%</w:t>
      </w:r>
    </w:p>
    <w:p>
      <w:pPr>
        <w:spacing w:before="120" w:after="40"/>
        <w:ind w:left="200"/>
      </w:pPr>
      <w:r>
        <w:rPr>
          <w:b/>
          <w:bCs/>
          <w:color w:val="2563EB"/>
          <w:sz w:val="16"/>
          <w:szCs w:val="16"/>
        </w:rPr>
        <w:t xml:space="preserve">Chosen by you</w:t>
      </w:r>
      <w:r>
        <w:rPr>
          <w:b/>
          <w:bCs/>
          <w:color w:val="2563EB"/>
          <w:sz w:val="16"/>
          <w:szCs w:val="16"/>
        </w:rPr>
        <w:t xml:space="preserve">   ASHASHIS1003</w:t>
      </w:r>
    </w:p>
    <w:p>
      <w:pPr>
        <w:spacing w:after="80"/>
        <w:ind w:left="200"/>
      </w:pPr>
      <w:r>
        <w:rPr>
          <w:color w:val="1E293B"/>
          <w:sz w:val="20"/>
          <w:szCs w:val="20"/>
        </w:rPr>
        <w:t xml:space="preserve">Students describe social, cultural, economic and/or political aspects, including international developments, related to the changes and continuities in Australian society over this historical period.</w:t>
      </w:r>
    </w:p>
    <w:p>
      <w:pPr>
        <w:spacing w:after="80"/>
        <w:ind w:left="400"/>
      </w:pPr>
      <w:r>
        <w:rPr>
          <w:color w:val="1E293B"/>
          <w:sz w:val="18"/>
          <w:szCs w:val="18"/>
        </w:rPr>
        <w:t xml:space="preserve">Why (AI): The quantitative modifier 'at least 4' is attached to the existing aspect categories, and the wartime home-front context is added as the setting in which the changes and continuities are described, with no new actions. The original verb, scope and clause order are kept, so the A-band now specifies both a minimum breadth of description and a concrete wartime case study.</w:t>
      </w:r>
    </w:p>
    <w:tbl>
      <w:tblPr>
        <w:tblW w:type="pct" w:w="96%"/>
        <w:tblInd w:type="dxa" w:w="400"/>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gridCol w:w="100"/>
      </w:tblGrid>
      <w:tr>
        <w:trPr>
          <w:tblHeader/>
        </w:trPr>
        <w:tc>
          <w:tcPr>
            <w:tcW w:type="pct" w:w="58%"/>
            <w:shd w:fill="EDEDE9" w:val="clear"/>
            <w:tcMar>
              <w:top w:type="dxa" w:w="60"/>
              <w:left w:type="dxa" w:w="100"/>
              <w:bottom w:type="dxa" w:w="60"/>
              <w:right w:type="dxa" w:w="100"/>
            </w:tcMar>
          </w:tcPr>
          <w:p>
            <w:r>
              <w:rPr>
                <w:b/>
                <w:bCs/>
                <w:color w:val="1F2937"/>
                <w:sz w:val="16"/>
                <w:szCs w:val="16"/>
              </w:rPr>
              <w:t xml:space="preserve">Applied to this standard</w:t>
            </w:r>
          </w:p>
        </w:tc>
        <w:tc>
          <w:tcPr>
            <w:tcW w:type="pct" w:w="16%"/>
            <w:shd w:fill="EDEDE9" w:val="clear"/>
            <w:tcMar>
              <w:top w:type="dxa" w:w="60"/>
              <w:left w:type="dxa" w:w="100"/>
              <w:bottom w:type="dxa" w:w="60"/>
              <w:right w:type="dxa" w:w="100"/>
            </w:tcMar>
          </w:tcPr>
          <w:p>
            <w:r>
              <w:rPr>
                <w:b/>
                <w:bCs/>
                <w:color w:val="1F2937"/>
                <w:sz w:val="16"/>
                <w:szCs w:val="16"/>
              </w:rPr>
              <w:t xml:space="preserve">4 Cs</w:t>
            </w:r>
          </w:p>
        </w:tc>
        <w:tc>
          <w:tcPr>
            <w:tcW w:type="pct" w:w="26%"/>
            <w:shd w:fill="EDEDE9" w:val="clear"/>
            <w:tcMar>
              <w:top w:type="dxa" w:w="60"/>
              <w:left w:type="dxa" w:w="100"/>
              <w:bottom w:type="dxa" w:w="60"/>
              <w:right w:type="dxa" w:w="100"/>
            </w:tcMar>
          </w:tcPr>
          <w:p>
            <w:r>
              <w:rPr>
                <w:b/>
                <w:bCs/>
                <w:color w:val="1F2937"/>
                <w:sz w:val="16"/>
                <w:szCs w:val="16"/>
              </w:rPr>
              <w:t xml:space="preserve">From</w:t>
            </w:r>
          </w:p>
        </w:tc>
      </w:tr>
      <w:tr>
        <w:tc>
          <w:tcPr>
            <w:tcW w:type="pct" w:w="58%"/>
            <w:tcMar>
              <w:top w:type="dxa" w:w="60"/>
              <w:left w:type="dxa" w:w="100"/>
              <w:bottom w:type="dxa" w:w="60"/>
              <w:right w:type="dxa" w:w="100"/>
            </w:tcMar>
            <w:vAlign w:val="top"/>
          </w:tcPr>
          <w:p>
            <w:r>
              <w:rPr>
                <w:b w:val="false"/>
                <w:bCs w:val="false"/>
                <w:color w:val="1F2937"/>
                <w:sz w:val="18"/>
                <w:szCs w:val="18"/>
              </w:rPr>
              <w:t xml:space="preserve">the effects of the Second World War on the changing roles of women in Australia during the</w:t>
            </w:r>
          </w:p>
        </w:tc>
        <w:tc>
          <w:tcPr>
            <w:tcW w:type="pct" w:w="16%"/>
            <w:tcMar>
              <w:top w:type="dxa" w:w="60"/>
              <w:left w:type="dxa" w:w="100"/>
              <w:bottom w:type="dxa" w:w="60"/>
              <w:right w:type="dxa" w:w="100"/>
            </w:tcMar>
            <w:vAlign w:val="top"/>
          </w:tcPr>
          <w:p>
            <w:r>
              <w:rPr>
                <w:b/>
                <w:bCs/>
                <w:color w:val="1F2937"/>
                <w:sz w:val="18"/>
                <w:szCs w:val="18"/>
              </w:rPr>
              <w:t xml:space="preserve">Context</w:t>
            </w:r>
          </w:p>
        </w:tc>
        <w:tc>
          <w:tcPr>
            <w:tcW w:type="pct" w:w="26%"/>
            <w:tcMar>
              <w:top w:type="dxa" w:w="60"/>
              <w:left w:type="dxa" w:w="100"/>
              <w:bottom w:type="dxa" w:w="60"/>
              <w:right w:type="dxa" w:w="100"/>
            </w:tcMar>
            <w:vAlign w:val="top"/>
          </w:tcPr>
          <w:p>
            <w:r>
              <w:rPr>
                <w:b w:val="false"/>
                <w:bCs w:val="false"/>
                <w:color w:val="1F2937"/>
                <w:sz w:val="18"/>
                <w:szCs w:val="18"/>
              </w:rPr>
              <w:t xml:space="preserve">Elaboration AC9HH10K04</w:t>
            </w:r>
          </w:p>
        </w:tc>
      </w:tr>
      <w:tr>
        <w:tc>
          <w:tcPr>
            <w:tcW w:type="pct" w:w="58%"/>
            <w:tcMar>
              <w:top w:type="dxa" w:w="60"/>
              <w:left w:type="dxa" w:w="100"/>
              <w:bottom w:type="dxa" w:w="60"/>
              <w:right w:type="dxa" w:w="100"/>
            </w:tcMar>
            <w:vAlign w:val="top"/>
          </w:tcPr>
          <w:p>
            <w:r>
              <w:rPr>
                <w:b w:val="false"/>
                <w:bCs w:val="false"/>
                <w:color w:val="1F2937"/>
                <w:sz w:val="18"/>
                <w:szCs w:val="18"/>
              </w:rPr>
              <w:t xml:space="preserve">at least 4</w:t>
            </w:r>
          </w:p>
        </w:tc>
        <w:tc>
          <w:tcPr>
            <w:tcW w:type="pct" w:w="16%"/>
            <w:tcMar>
              <w:top w:type="dxa" w:w="60"/>
              <w:left w:type="dxa" w:w="100"/>
              <w:bottom w:type="dxa" w:w="60"/>
              <w:right w:type="dxa" w:w="100"/>
            </w:tcMar>
            <w:vAlign w:val="top"/>
          </w:tcPr>
          <w:p>
            <w:r>
              <w:rPr>
                <w:b/>
                <w:bCs/>
                <w:color w:val="1F2937"/>
                <w:sz w:val="18"/>
                <w:szCs w:val="18"/>
              </w:rPr>
              <w:t xml:space="preserve">Quantitative</w:t>
            </w:r>
          </w:p>
        </w:tc>
        <w:tc>
          <w:tcPr>
            <w:tcW w:type="pct" w:w="26%"/>
            <w:tcMar>
              <w:top w:type="dxa" w:w="60"/>
              <w:left w:type="dxa" w:w="100"/>
              <w:bottom w:type="dxa" w:w="60"/>
              <w:right w:type="dxa" w:w="100"/>
            </w:tcMar>
            <w:vAlign w:val="top"/>
          </w:tcPr>
          <w:p>
            <w:r>
              <w:rPr>
                <w:b w:val="false"/>
                <w:bCs w:val="false"/>
                <w:color w:val="1F2937"/>
                <w:sz w:val="18"/>
                <w:szCs w:val="18"/>
              </w:rPr>
              <w:t xml:space="preserve">Quantitative bank</w:t>
            </w:r>
          </w:p>
        </w:tc>
      </w:tr>
    </w:tbl>
    <w:p>
      <w:pPr>
        <w:spacing w:after="120"/>
      </w:pPr>
    </w:p>
    <w:p>
      <w:pPr>
        <w:spacing w:before="250" w:after="100"/>
      </w:pPr>
      <w:r>
        <w:rPr>
          <w:b/>
          <w:bCs/>
          <w:color w:val="1E293B"/>
          <w:sz w:val="22"/>
          <w:szCs w:val="22"/>
        </w:rPr>
        <w:t xml:space="preserve">Skills</w:t>
      </w:r>
      <w:r>
        <w:rPr>
          <w:color w:val="64748B"/>
          <w:sz w:val="18"/>
          <w:szCs w:val="18"/>
        </w:rPr>
        <w:t xml:space="preserve">  ·  50%</w:t>
      </w:r>
    </w:p>
    <w:p>
      <w:pPr>
        <w:spacing w:before="120" w:after="40"/>
        <w:ind w:left="200"/>
      </w:pPr>
      <w:r>
        <w:rPr>
          <w:b/>
          <w:bCs/>
          <w:color w:val="2563EB"/>
          <w:sz w:val="16"/>
          <w:szCs w:val="16"/>
        </w:rPr>
        <w:t xml:space="preserve">Chosen by you</w:t>
      </w:r>
      <w:r>
        <w:rPr>
          <w:b/>
          <w:bCs/>
          <w:color w:val="2563EB"/>
          <w:sz w:val="16"/>
          <w:szCs w:val="16"/>
        </w:rPr>
        <w:t xml:space="preserve">   ASHASHIS1012</w:t>
      </w:r>
    </w:p>
    <w:p>
      <w:pPr>
        <w:spacing w:after="80"/>
        <w:ind w:left="200"/>
      </w:pPr>
      <w:r>
        <w:rPr>
          <w:color w:val="1E293B"/>
          <w:sz w:val="20"/>
          <w:szCs w:val="20"/>
        </w:rPr>
        <w:t xml:space="preserve">Students use historical knowledge, concepts and terms to develop descriptions, explanations and historical arguments that synthesise evidence from sources.</w:t>
      </w:r>
    </w:p>
    <w:p>
      <w:pPr>
        <w:spacing w:after="80"/>
        <w:ind w:left="400"/>
      </w:pPr>
      <w:r>
        <w:rPr>
          <w:color w:val="1E293B"/>
          <w:sz w:val="18"/>
          <w:szCs w:val="18"/>
        </w:rPr>
        <w:t xml:space="preserve">Why (AI): The quantitative modifier 'a range of' is placed before 'sources' to set the breadth of evidence, and the historical-argument context is embedded as the setting in which interpretive possibilities arise, with no new actions added. The home front context anchors the sentence to the unit theme while keeping the original clause order and all original actions intact.</w:t>
      </w:r>
    </w:p>
    <w:tbl>
      <w:tblPr>
        <w:tblW w:type="pct" w:w="96%"/>
        <w:tblInd w:type="dxa" w:w="400"/>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gridCol w:w="100"/>
      </w:tblGrid>
      <w:tr>
        <w:trPr>
          <w:tblHeader/>
        </w:trPr>
        <w:tc>
          <w:tcPr>
            <w:tcW w:type="pct" w:w="58%"/>
            <w:shd w:fill="EDEDE9" w:val="clear"/>
            <w:tcMar>
              <w:top w:type="dxa" w:w="60"/>
              <w:left w:type="dxa" w:w="100"/>
              <w:bottom w:type="dxa" w:w="60"/>
              <w:right w:type="dxa" w:w="100"/>
            </w:tcMar>
          </w:tcPr>
          <w:p>
            <w:r>
              <w:rPr>
                <w:b/>
                <w:bCs/>
                <w:color w:val="1F2937"/>
                <w:sz w:val="16"/>
                <w:szCs w:val="16"/>
              </w:rPr>
              <w:t xml:space="preserve">Applied to this standard</w:t>
            </w:r>
          </w:p>
        </w:tc>
        <w:tc>
          <w:tcPr>
            <w:tcW w:type="pct" w:w="16%"/>
            <w:shd w:fill="EDEDE9" w:val="clear"/>
            <w:tcMar>
              <w:top w:type="dxa" w:w="60"/>
              <w:left w:type="dxa" w:w="100"/>
              <w:bottom w:type="dxa" w:w="60"/>
              <w:right w:type="dxa" w:w="100"/>
            </w:tcMar>
          </w:tcPr>
          <w:p>
            <w:r>
              <w:rPr>
                <w:b/>
                <w:bCs/>
                <w:color w:val="1F2937"/>
                <w:sz w:val="16"/>
                <w:szCs w:val="16"/>
              </w:rPr>
              <w:t xml:space="preserve">4 Cs</w:t>
            </w:r>
          </w:p>
        </w:tc>
        <w:tc>
          <w:tcPr>
            <w:tcW w:type="pct" w:w="26%"/>
            <w:shd w:fill="EDEDE9" w:val="clear"/>
            <w:tcMar>
              <w:top w:type="dxa" w:w="60"/>
              <w:left w:type="dxa" w:w="100"/>
              <w:bottom w:type="dxa" w:w="60"/>
              <w:right w:type="dxa" w:w="100"/>
            </w:tcMar>
          </w:tcPr>
          <w:p>
            <w:r>
              <w:rPr>
                <w:b/>
                <w:bCs/>
                <w:color w:val="1F2937"/>
                <w:sz w:val="16"/>
                <w:szCs w:val="16"/>
              </w:rPr>
              <w:t xml:space="preserve">From</w:t>
            </w:r>
          </w:p>
        </w:tc>
      </w:tr>
      <w:tr>
        <w:tc>
          <w:tcPr>
            <w:tcW w:type="pct" w:w="58%"/>
            <w:tcMar>
              <w:top w:type="dxa" w:w="60"/>
              <w:left w:type="dxa" w:w="100"/>
              <w:bottom w:type="dxa" w:w="60"/>
              <w:right w:type="dxa" w:w="100"/>
            </w:tcMar>
            <w:vAlign w:val="top"/>
          </w:tcPr>
          <w:p>
            <w:r>
              <w:rPr>
                <w:b w:val="false"/>
                <w:bCs w:val="false"/>
                <w:color w:val="1F2937"/>
                <w:sz w:val="18"/>
                <w:szCs w:val="18"/>
              </w:rPr>
              <w:t xml:space="preserve">a historical argument that identifies different possibilities in interpretation,</w:t>
            </w:r>
          </w:p>
        </w:tc>
        <w:tc>
          <w:tcPr>
            <w:tcW w:type="pct" w:w="16%"/>
            <w:tcMar>
              <w:top w:type="dxa" w:w="60"/>
              <w:left w:type="dxa" w:w="100"/>
              <w:bottom w:type="dxa" w:w="60"/>
              <w:right w:type="dxa" w:w="100"/>
            </w:tcMar>
            <w:vAlign w:val="top"/>
          </w:tcPr>
          <w:p>
            <w:r>
              <w:rPr>
                <w:b/>
                <w:bCs/>
                <w:color w:val="1F2937"/>
                <w:sz w:val="18"/>
                <w:szCs w:val="18"/>
              </w:rPr>
              <w:t xml:space="preserve">Context</w:t>
            </w:r>
          </w:p>
        </w:tc>
        <w:tc>
          <w:tcPr>
            <w:tcW w:type="pct" w:w="26%"/>
            <w:tcMar>
              <w:top w:type="dxa" w:w="60"/>
              <w:left w:type="dxa" w:w="100"/>
              <w:bottom w:type="dxa" w:w="60"/>
              <w:right w:type="dxa" w:w="100"/>
            </w:tcMar>
            <w:vAlign w:val="top"/>
          </w:tcPr>
          <w:p>
            <w:r>
              <w:rPr>
                <w:b w:val="false"/>
                <w:bCs w:val="false"/>
                <w:color w:val="1F2937"/>
                <w:sz w:val="18"/>
                <w:szCs w:val="18"/>
              </w:rPr>
              <w:t xml:space="preserve">Elaboration AC9HH10S08</w:t>
            </w:r>
          </w:p>
        </w:tc>
      </w:tr>
      <w:tr>
        <w:tc>
          <w:tcPr>
            <w:tcW w:type="pct" w:w="58%"/>
            <w:tcMar>
              <w:top w:type="dxa" w:w="60"/>
              <w:left w:type="dxa" w:w="100"/>
              <w:bottom w:type="dxa" w:w="60"/>
              <w:right w:type="dxa" w:w="100"/>
            </w:tcMar>
            <w:vAlign w:val="top"/>
          </w:tcPr>
          <w:p>
            <w:r>
              <w:rPr>
                <w:b w:val="false"/>
                <w:bCs w:val="false"/>
                <w:color w:val="1F2937"/>
                <w:sz w:val="18"/>
                <w:szCs w:val="18"/>
              </w:rPr>
              <w:t xml:space="preserve">a range of</w:t>
            </w:r>
          </w:p>
        </w:tc>
        <w:tc>
          <w:tcPr>
            <w:tcW w:type="pct" w:w="16%"/>
            <w:tcMar>
              <w:top w:type="dxa" w:w="60"/>
              <w:left w:type="dxa" w:w="100"/>
              <w:bottom w:type="dxa" w:w="60"/>
              <w:right w:type="dxa" w:w="100"/>
            </w:tcMar>
            <w:vAlign w:val="top"/>
          </w:tcPr>
          <w:p>
            <w:r>
              <w:rPr>
                <w:b/>
                <w:bCs/>
                <w:color w:val="1F2937"/>
                <w:sz w:val="18"/>
                <w:szCs w:val="18"/>
              </w:rPr>
              <w:t xml:space="preserve">Quantitative</w:t>
            </w:r>
          </w:p>
        </w:tc>
        <w:tc>
          <w:tcPr>
            <w:tcW w:type="pct" w:w="26%"/>
            <w:tcMar>
              <w:top w:type="dxa" w:w="60"/>
              <w:left w:type="dxa" w:w="100"/>
              <w:bottom w:type="dxa" w:w="60"/>
              <w:right w:type="dxa" w:w="100"/>
            </w:tcMar>
            <w:vAlign w:val="top"/>
          </w:tcPr>
          <w:p>
            <w:r>
              <w:rPr>
                <w:b w:val="false"/>
                <w:bCs w:val="false"/>
                <w:color w:val="1F2937"/>
                <w:sz w:val="18"/>
                <w:szCs w:val="18"/>
              </w:rPr>
              <w:t xml:space="preserve">Quantitative bank</w:t>
            </w:r>
          </w:p>
        </w:tc>
      </w:tr>
    </w:tbl>
    <w:p>
      <w:pPr>
        <w:spacing w:after="120"/>
      </w:pPr>
    </w:p>
    <w:p>
      <w:pPr>
        <w:pStyle w:val="Heading2"/>
        <w:spacing w:before="400" w:after="200"/>
      </w:pPr>
      <w:r>
        <w:t xml:space="preserve">Assessment Information</w:t>
      </w:r>
    </w:p>
    <w:p>
      <w:pPr>
        <w:spacing w:after="100"/>
      </w:pPr>
      <w:r>
        <w:rPr>
          <w:b/>
          <w:bCs/>
        </w:rPr>
        <w:t xml:space="preserve">Due Date: </w:t>
      </w:r>
      <w:r>
        <w:rPr>
          <w:color w:val="999999"/>
        </w:rPr>
        <w:t xml:space="preserve">_______________________</w:t>
      </w:r>
      <w:r>
        <w:rPr>
          <w:i/>
          <w:iCs/>
          <w:color w:val="999999"/>
        </w:rPr>
        <w:t xml:space="preserve">   (insert date)</w:t>
      </w:r>
    </w:p>
    <w:p>
      <w:pPr>
        <w:spacing w:after="100"/>
      </w:pPr>
      <w:r>
        <w:rPr>
          <w:b/>
          <w:bCs/>
        </w:rPr>
        <w:t xml:space="preserve">Assessment Type: </w:t>
      </w:r>
      <w:r>
        <w:t xml:space="preserve">Summative (of learning)</w:t>
      </w:r>
    </w:p>
    <w:p>
      <w:pPr>
        <w:spacing w:after="100"/>
      </w:pPr>
      <w:r>
        <w:rPr>
          <w:b/>
          <w:bCs/>
        </w:rPr>
        <w:t xml:space="preserve">Submission Method: </w:t>
      </w:r>
      <w:r>
        <w:rPr>
          <w:color w:val="999999"/>
        </w:rPr>
        <w:t xml:space="preserve">_______________________</w:t>
      </w:r>
      <w:r>
        <w:rPr>
          <w:i/>
          <w:iCs/>
          <w:color w:val="999999"/>
        </w:rPr>
        <w:t xml:space="preserve">   (e.g., in-class, online portal, email)</w:t>
      </w:r>
    </w:p>
    <w:p>
      <w:pPr>
        <w:spacing w:after="200"/>
      </w:pPr>
      <w:r>
        <w:rPr>
          <w:b/>
          <w:bCs/>
        </w:rPr>
        <w:t xml:space="preserve">Late Submission Policy: </w:t>
      </w:r>
      <w:r>
        <w:rPr>
          <w:i/>
          <w:iCs/>
          <w:color w:val="666666"/>
        </w:rPr>
        <w:t xml:space="preserve">Refer to school assessment policy</w:t>
      </w:r>
    </w:p>
    <w:p>
      <w:pPr>
        <w:pBdr>
          <w:bottom w:val="single" w:color="1E3A5F" w:sz="12"/>
        </w:pBdr>
        <w:spacing w:before="400" w:after="100"/>
      </w:pPr>
      <w:r>
        <w:rPr>
          <w:b/>
          <w:bCs/>
          <w:color w:val="1E3A5F"/>
          <w:sz w:val="28"/>
          <w:szCs w:val="28"/>
        </w:rPr>
        <w:t xml:space="preserve">CURRICULUM USED</w:t>
      </w:r>
    </w:p>
    <w:p>
      <w:pPr>
        <w:spacing w:after="200"/>
      </w:pPr>
      <w:r>
        <w:rPr>
          <w:i/>
          <w:iCs/>
          <w:color w:val="64748B"/>
          <w:sz w:val="18"/>
          <w:szCs w:val="18"/>
        </w:rPr>
        <w:t xml:space="preserve">The achievement standards and content descriptors this task was written from, quoted from the Australian Curriculum.</w:t>
      </w:r>
    </w:p>
    <w:p>
      <w:pPr>
        <w:spacing w:before="100" w:after="150"/>
      </w:pPr>
      <w:r>
        <w:rPr>
          <w:b/>
          <w:bCs/>
          <w:color w:val="1E3A5F"/>
          <w:sz w:val="24"/>
          <w:szCs w:val="24"/>
        </w:rPr>
        <w:t xml:space="preserve">Achievement standards assessed</w:t>
      </w:r>
    </w:p>
    <w:p>
      <w:pPr>
        <w:pStyle w:val="ListParagraph"/>
        <w:numPr>
          <w:ilvl w:val="0"/>
          <w:numId w:val="1"/>
        </w:numPr>
        <w:spacing w:after="120"/>
        <w:ind w:left="200"/>
      </w:pPr>
      <w:r>
        <w:rPr>
          <w:b/>
          <w:bCs/>
          <w:color w:val="0284C7"/>
          <w:sz w:val="18"/>
          <w:szCs w:val="18"/>
        </w:rPr>
        <w:t xml:space="preserve">ASHASHIS1003  </w:t>
      </w:r>
      <w:r>
        <w:rPr>
          <w:color w:val="1F2937"/>
          <w:sz w:val="20"/>
          <w:szCs w:val="20"/>
        </w:rPr>
        <w:t xml:space="preserve">They describe social, cultural, economic and/or political aspects, including international developments, related to the changes and continuities in Australian society over this historical period.</w:t>
      </w:r>
      <w:r>
        <w:rPr>
          <w:i/>
          <w:iCs/>
          <w:color w:val="64748B"/>
          <w:sz w:val="16"/>
          <w:szCs w:val="16"/>
        </w:rPr>
        <w:t xml:space="preserve">  (Knowledge and understanding)</w:t>
      </w:r>
    </w:p>
    <w:p>
      <w:pPr>
        <w:pStyle w:val="ListParagraph"/>
        <w:numPr>
          <w:ilvl w:val="0"/>
          <w:numId w:val="1"/>
        </w:numPr>
        <w:spacing w:after="200"/>
        <w:ind w:left="200"/>
      </w:pPr>
      <w:r>
        <w:rPr>
          <w:b/>
          <w:bCs/>
          <w:color w:val="0284C7"/>
          <w:sz w:val="18"/>
          <w:szCs w:val="18"/>
        </w:rPr>
        <w:t xml:space="preserve">ASHASHIS1012  </w:t>
      </w:r>
      <w:r>
        <w:rPr>
          <w:color w:val="1F2937"/>
          <w:sz w:val="20"/>
          <w:szCs w:val="20"/>
        </w:rPr>
        <w:t xml:space="preserve">Students use historical knowledge, concepts and terms to develop descriptions, explanations and historical arguments that synthesise evidence from sources.</w:t>
      </w:r>
      <w:r>
        <w:rPr>
          <w:i/>
          <w:iCs/>
          <w:color w:val="64748B"/>
          <w:sz w:val="16"/>
          <w:szCs w:val="16"/>
        </w:rPr>
        <w:t xml:space="preserve">  (Skills)</w:t>
      </w:r>
    </w:p>
    <w:p>
      <w:pPr>
        <w:spacing w:before="200" w:after="150"/>
      </w:pPr>
      <w:r>
        <w:rPr>
          <w:b/>
          <w:bCs/>
          <w:color w:val="1E3A5F"/>
          <w:sz w:val="24"/>
          <w:szCs w:val="24"/>
        </w:rPr>
        <w:t xml:space="preserve">Content descriptors</w:t>
      </w:r>
      <w:r>
        <w:rPr>
          <w:i/>
          <w:iCs/>
          <w:color w:val="64748B"/>
          <w:sz w:val="20"/>
          <w:szCs w:val="20"/>
        </w:rPr>
        <w:t xml:space="preserve"> (ticked by you)</w:t>
      </w:r>
    </w:p>
    <w:p>
      <w:pPr>
        <w:pStyle w:val="ListParagraph"/>
        <w:numPr>
          <w:ilvl w:val="0"/>
          <w:numId w:val="1"/>
        </w:numPr>
        <w:spacing w:after="120"/>
        <w:ind w:left="200"/>
      </w:pPr>
      <w:r>
        <w:rPr>
          <w:b/>
          <w:bCs/>
          <w:color w:val="0284C7"/>
          <w:sz w:val="18"/>
          <w:szCs w:val="18"/>
        </w:rPr>
        <w:t xml:space="preserve">AC9HH10K04  </w:t>
      </w:r>
      <w:r>
        <w:rPr>
          <w:color w:val="1F2937"/>
          <w:sz w:val="20"/>
          <w:szCs w:val="20"/>
        </w:rPr>
        <w:t xml:space="preserve">the effects of the Second World War, with a particular emphasis on the continuities and changes on the Australian home front, such as the changing roles of women and First Nations Australians, and the use of wartime government controls</w:t>
      </w:r>
      <w:r>
        <w:rPr>
          <w:i/>
          <w:iCs/>
          <w:color w:val="64748B"/>
          <w:sz w:val="16"/>
          <w:szCs w:val="16"/>
        </w:rPr>
        <w:t xml:space="preserve">  (Knowledge and understanding · Second World War)</w:t>
      </w:r>
    </w:p>
    <w:p>
      <w:pPr>
        <w:pStyle w:val="ListParagraph"/>
        <w:numPr>
          <w:ilvl w:val="0"/>
          <w:numId w:val="1"/>
        </w:numPr>
        <w:spacing w:after="200"/>
        <w:ind w:left="200"/>
      </w:pPr>
      <w:r>
        <w:rPr>
          <w:b/>
          <w:bCs/>
          <w:color w:val="0284C7"/>
          <w:sz w:val="18"/>
          <w:szCs w:val="18"/>
        </w:rPr>
        <w:t xml:space="preserve">AC9HH10S08  </w:t>
      </w:r>
      <w:r>
        <w:rPr>
          <w:color w:val="1F2937"/>
          <w:sz w:val="20"/>
          <w:szCs w:val="20"/>
        </w:rPr>
        <w:t xml:space="preserve">create descriptions, explanations and historical arguments, using historical knowledge, concepts and terms that incorporate and acknowledge evidence from sources</w:t>
      </w:r>
      <w:r>
        <w:rPr>
          <w:i/>
          <w:iCs/>
          <w:color w:val="64748B"/>
          <w:sz w:val="16"/>
          <w:szCs w:val="16"/>
        </w:rPr>
        <w:t xml:space="preserve">  (Skills · Communicating)</w:t>
      </w:r>
    </w:p>
    <w:p>
      <w:pPr>
        <w:spacing w:before="150" w:after="100"/>
      </w:pPr>
      <w:r>
        <w:rPr>
          <w:b/>
          <w:bCs/>
          <w:color w:val="64748B"/>
          <w:sz w:val="18"/>
          <w:szCs w:val="18"/>
        </w:rPr>
        <w:t xml:space="preserve">Built from: </w:t>
      </w:r>
      <w:r>
        <w:rPr>
          <w:color w:val="64748B"/>
          <w:sz w:val="18"/>
          <w:szCs w:val="18"/>
        </w:rPr>
        <w:t xml:space="preserve">topic “World War II and the Australian home front: women's wartime work and government controls on everyday life, 1939–1945” · Written task · 50 min · notes: The final assessment is an individual historical explanation, about 500 words in one 50 minute lesson in Week 4, using evidence studied during this unit. Focus…</w:t>
      </w:r>
    </w:p>
    <w:p>
      <w:pPr>
        <w:spacing w:before="250" w:after="120"/>
      </w:pPr>
      <w:r>
        <w:rPr>
          <w:b/>
          <w:bCs/>
          <w:color w:val="1E3A5F"/>
          <w:sz w:val="24"/>
          <w:szCs w:val="24"/>
        </w:rPr>
        <w:t xml:space="preserve">Original topic review</w:t>
      </w:r>
    </w:p>
    <w:p>
      <w:pPr>
        <w:spacing w:after="140"/>
      </w:pPr>
      <w:r>
        <w:rPr>
          <w:b/>
          <w:bCs/>
          <w:sz w:val="20"/>
          <w:szCs w:val="20"/>
        </w:rPr>
        <w:t xml:space="preserve">Original activity: </w:t>
      </w:r>
      <w:r>
        <w:rPr>
          <w:sz w:val="20"/>
          <w:szCs w:val="20"/>
        </w:rPr>
        <w:t xml:space="preserve">Write one historical explanation answering: How did World War II change everyday life on the Australian home front? Connect women’s wartime work with government controls such as rationing and labour direction. Describe a change and a continuity, use specific historical evidence studied in class, and acknowledge the sources used. Keep this as one coherent explanation, not a quiz or a list of unrelated questions. No homework or extra research.</w:t>
      </w:r>
    </w:p>
    <w:p>
      <w:pPr>
        <w:spacing w:before="120" w:after="120"/>
      </w:pPr>
      <w:r>
        <w:rPr>
          <w:i/>
          <w:iCs/>
          <w:color w:val="64748B"/>
          <w:sz w:val="18"/>
          <w:szCs w:val="18"/>
        </w:rPr>
        <w:t xml:space="preserve">These are the original topic notes, written before the task was created or expanded. They are history, not a review of the finished task. Use the current task mapping and quality notes below.</w:t>
      </w:r>
    </w:p>
    <w:p>
      <w:pPr>
        <w:spacing w:before="250" w:after="120"/>
      </w:pPr>
      <w:r>
        <w:rPr>
          <w:b/>
          <w:bCs/>
          <w:color w:val="1E3A5F"/>
          <w:sz w:val="24"/>
          <w:szCs w:val="24"/>
        </w:rPr>
        <w:t xml:space="preserve">Current task mapping</w:t>
      </w:r>
    </w:p>
    <w:p>
      <w:pPr>
        <w:spacing w:after="140"/>
      </w:pPr>
      <w:r>
        <w:rPr>
          <w:sz w:val="20"/>
          <w:szCs w:val="20"/>
        </w:rPr>
        <w:t xml:space="preserve">The finished task contains: Section 1: Women's Work and Wartime Demands; Section 2: Rationing, Labour Direction and Daily Choices; Section 3: Change and Continuity Across the Home Front.</w:t>
      </w:r>
    </w:p>
    <w:p>
      <w:pPr>
        <w:spacing w:before="140" w:after="60"/>
      </w:pPr>
      <w:r>
        <w:rPr>
          <w:b/>
          <w:bCs/>
          <w:color w:val="64748B"/>
          <w:sz w:val="18"/>
          <w:szCs w:val="18"/>
        </w:rPr>
        <w:t xml:space="preserve">ASHASHIS1003  </w:t>
      </w:r>
      <w:r>
        <w:rPr>
          <w:b w:val="false"/>
          <w:bCs w:val="false"/>
          <w:sz w:val="20"/>
          <w:szCs w:val="20"/>
        </w:rPr>
        <w:t xml:space="preserve">They </w:t>
      </w:r>
      <w:r>
        <w:rPr>
          <w:b/>
          <w:bCs/>
          <w:sz w:val="20"/>
          <w:szCs w:val="20"/>
        </w:rPr>
        <w:t xml:space="preserve">describe</w:t>
      </w:r>
      <w:r>
        <w:rPr>
          <w:b w:val="false"/>
          <w:bCs w:val="false"/>
          <w:sz w:val="20"/>
          <w:szCs w:val="20"/>
        </w:rPr>
        <w:t xml:space="preserve"> social, cultural, economic and/or political aspects, including international developments, related to the changes and continuities in Australian society over this historical period.</w:t>
      </w:r>
    </w:p>
    <w:p>
      <w:pPr>
        <w:spacing w:after="40"/>
        <w:ind w:left="360"/>
      </w:pPr>
      <w:r>
        <w:rPr>
          <w:b/>
          <w:bCs/>
          <w:color w:val="64748B"/>
          <w:sz w:val="20"/>
          <w:szCs w:val="20"/>
        </w:rPr>
        <w:t xml:space="preserve">In this task: </w:t>
      </w:r>
      <w:r>
        <w:rPr>
          <w:sz w:val="20"/>
          <w:szCs w:val="20"/>
        </w:rPr>
        <w:t xml:space="preserve">Section 1: Women's Work and Wartime Demands — Analyse how wartime demands affected women's work and social roles, linking Australian experiences with developments overseas. Argue your opening position through specific evidence remembered from class.
Section 2: Rationing, Labour Direction and Daily Choices — Analyse how rationing and labour direction affected daily routines and women's wartime work. Synthesise evidence remembered from class sources to explain the links between government decisions and personal experiences.
Section 3: Change and Continuity Across the Home Front — Evaluate the claim by connecting a change and a continuity across women's work and government controls. Critique a competing interpretation through evidence, ending with your overall judgement.</w:t>
      </w:r>
    </w:p>
    <w:p>
      <w:pPr>
        <w:spacing w:after="60"/>
        <w:ind w:left="360"/>
      </w:pPr>
      <w:r>
        <w:rPr>
          <w:b/>
          <w:bCs/>
          <w:color w:val="64748B"/>
          <w:sz w:val="20"/>
          <w:szCs w:val="20"/>
        </w:rPr>
        <w:t xml:space="preserve">Why: </w:t>
      </w:r>
      <w:r>
        <w:rPr>
          <w:sz w:val="20"/>
          <w:szCs w:val="20"/>
        </w:rPr>
        <w:t xml:space="preserve">These saved parts name this curriculum reference. Check that the required action is actually elicited.</w:t>
      </w:r>
    </w:p>
    <w:p>
      <w:pPr>
        <w:spacing w:before="140" w:after="60"/>
      </w:pPr>
      <w:r>
        <w:rPr>
          <w:b/>
          <w:bCs/>
          <w:color w:val="64748B"/>
          <w:sz w:val="18"/>
          <w:szCs w:val="18"/>
        </w:rPr>
        <w:t xml:space="preserve">ASHASHIS1012  </w:t>
      </w:r>
      <w:r>
        <w:rPr>
          <w:b w:val="false"/>
          <w:bCs w:val="false"/>
          <w:sz w:val="20"/>
          <w:szCs w:val="20"/>
        </w:rPr>
        <w:t xml:space="preserve">Students </w:t>
      </w:r>
      <w:r>
        <w:rPr>
          <w:b/>
          <w:bCs/>
          <w:sz w:val="20"/>
          <w:szCs w:val="20"/>
        </w:rPr>
        <w:t xml:space="preserve">use</w:t>
      </w:r>
      <w:r>
        <w:rPr>
          <w:b w:val="false"/>
          <w:bCs w:val="false"/>
          <w:sz w:val="20"/>
          <w:szCs w:val="20"/>
        </w:rPr>
        <w:t xml:space="preserve"> historical knowledge, concepts and terms to </w:t>
      </w:r>
      <w:r>
        <w:rPr>
          <w:b/>
          <w:bCs/>
          <w:sz w:val="20"/>
          <w:szCs w:val="20"/>
        </w:rPr>
        <w:t xml:space="preserve">develop</w:t>
      </w:r>
      <w:r>
        <w:rPr>
          <w:b w:val="false"/>
          <w:bCs w:val="false"/>
          <w:sz w:val="20"/>
          <w:szCs w:val="20"/>
        </w:rPr>
        <w:t xml:space="preserve"> descriptions, explanations and historical arguments that </w:t>
      </w:r>
      <w:r>
        <w:rPr>
          <w:b/>
          <w:bCs/>
          <w:sz w:val="20"/>
          <w:szCs w:val="20"/>
        </w:rPr>
        <w:t xml:space="preserve">synthesise</w:t>
      </w:r>
      <w:r>
        <w:rPr>
          <w:b w:val="false"/>
          <w:bCs w:val="false"/>
          <w:sz w:val="20"/>
          <w:szCs w:val="20"/>
        </w:rPr>
        <w:t xml:space="preserve"> evidence from sources.</w:t>
      </w:r>
    </w:p>
    <w:p>
      <w:pPr>
        <w:spacing w:after="40"/>
        <w:ind w:left="360"/>
      </w:pPr>
      <w:r>
        <w:rPr>
          <w:b/>
          <w:bCs/>
          <w:color w:val="64748B"/>
          <w:sz w:val="20"/>
          <w:szCs w:val="20"/>
        </w:rPr>
        <w:t xml:space="preserve">In this task: </w:t>
      </w:r>
      <w:r>
        <w:rPr>
          <w:sz w:val="20"/>
          <w:szCs w:val="20"/>
        </w:rPr>
        <w:t xml:space="preserve">Section 1: Women's Work and Wartime Demands — Analyse how wartime demands affected women's work and social roles, linking Australian experiences with developments overseas. Argue your opening position through specific evidence remembered from class.
Section 2: Rationing, Labour Direction and Daily Choices — Analyse how rationing and labour direction affected daily routines and women's wartime work. Synthesise evidence remembered from class sources to explain the links between government decisions and personal experiences.
Section 3: Change and Continuity Across the Home Front — Evaluate the claim by connecting a change and a continuity across women's work and government controls. Critique a competing interpretation through evidence, ending with your overall judgement.</w:t>
      </w:r>
    </w:p>
    <w:p>
      <w:pPr>
        <w:spacing w:after="60"/>
        <w:ind w:left="360"/>
      </w:pPr>
      <w:r>
        <w:rPr>
          <w:b/>
          <w:bCs/>
          <w:color w:val="64748B"/>
          <w:sz w:val="20"/>
          <w:szCs w:val="20"/>
        </w:rPr>
        <w:t xml:space="preserve">Why: </w:t>
      </w:r>
      <w:r>
        <w:rPr>
          <w:sz w:val="20"/>
          <w:szCs w:val="20"/>
        </w:rPr>
        <w:t xml:space="preserve">These saved parts name this curriculum reference. Check that the required action is actually elicited.</w:t>
      </w:r>
    </w:p>
    <w:p>
      <w:pPr>
        <w:spacing w:before="120" w:after="120"/>
      </w:pPr>
      <w:r>
        <w:rPr>
          <w:i/>
          <w:iCs/>
          <w:color w:val="64748B"/>
          <w:sz w:val="18"/>
          <w:szCs w:val="18"/>
        </w:rPr>
        <w:t xml:space="preserve">Mapped from the saved task parts and their curriculum references. A reference is not proof that every required action is assessed. Review the instructions, sources and quality notes before use.</w:t>
      </w:r>
    </w:p>
    <w:p>
      <w:pPr>
        <w:pStyle w:val="Heading2"/>
        <w:pageBreakBefore/>
        <w:spacing w:before="600" w:after="200"/>
      </w:pPr>
      <w:r>
        <w:t xml:space="preserve">Teacher Copy</w:t>
      </w:r>
    </w:p>
    <w:p>
      <w:pPr>
        <w:pBdr>
          <w:bottom w:val="single" w:color="1E3A5F" w:sz="12"/>
        </w:pBdr>
        <w:spacing w:before="200" w:after="100"/>
      </w:pPr>
      <w:r>
        <w:rPr>
          <w:b/>
          <w:bCs/>
          <w:color w:val="1E3A5F"/>
          <w:sz w:val="28"/>
          <w:szCs w:val="28"/>
        </w:rPr>
        <w:t xml:space="preserve">ASSESSMENT OVERVIEW</w:t>
      </w:r>
    </w:p>
    <w:p>
      <w:pPr>
        <w:spacing w:before="150" w:after="60"/>
      </w:pPr>
      <w:r>
        <w:rPr>
          <w:b/>
          <w:bCs/>
          <w:color w:val="1E3A5F"/>
          <w:sz w:val="22"/>
          <w:szCs w:val="22"/>
        </w:rPr>
        <w:t xml:space="preserve">PURPOSE</w:t>
      </w:r>
    </w:p>
    <w:p>
      <w:pPr>
        <w:shd w:fill="F8FAFC"/>
        <w:spacing w:after="100"/>
      </w:pPr>
      <w:r>
        <w:rPr>
          <w:i/>
          <w:iCs/>
        </w:rPr>
        <w:t xml:space="preserve">This summative assessment contributes to your reported A–E judgement in History. It shows how you connect historical evidence with an argument about change and continuity.</w:t>
      </w:r>
    </w:p>
    <w:p>
      <w:pPr>
        <w:pStyle w:val="Heading3"/>
        <w:spacing w:before="200" w:after="100"/>
      </w:pPr>
      <w:r>
        <w:t xml:space="preserve">Worked and model responses — teacher only</w:t>
      </w:r>
    </w:p>
    <w:p>
      <w:pPr>
        <w:spacing w:after="100"/>
      </w:pPr>
      <w:r>
        <w:t xml:space="preserve">Use these examples with the marking guide. Other well-supported responses may also meet the criteria.</w:t>
      </w:r>
    </w:p>
    <w:p>
      <w:pPr>
        <w:pStyle w:val="Heading4"/>
        <w:spacing w:before="120" w:after="80"/>
      </w:pPr>
      <w:r>
        <w:t xml:space="preserve">Section 1: Women's Work and Wartime Demands</w:t>
      </w:r>
    </w:p>
    <w:p>
      <w:pPr>
        <w:spacing w:after="100"/>
        <w:ind w:left="0"/>
      </w:pPr>
      <w:r>
        <w:t xml:space="preserve">Women's Work and Wartime Demands.</w:t>
      </w:r>
    </w:p>
    <w:p>
      <w:pPr>
        <w:spacing w:after="100"/>
        <w:ind w:left="0"/>
      </w:pPr>
      <w:r>
        <w:t xml:space="preserve">World War II substantially transformed Australian daily life by expanding women's work and government intervention, but it did not remove gender inequality. Men's enlistment and increased production created labour shortages, drawing women into munitions factories, agriculture and military support services. Japan's entry into the war in December 1941 intensified Australia's need to mobilise workers. As in Britain, women's labour became essential to sustaining the war effort.</w:t>
      </w:r>
    </w:p>
    <w:p>
      <w:pPr>
        <w:spacing w:after="100"/>
        <w:ind w:left="0"/>
      </w:pPr>
      <w:r>
        <w:t xml:space="preserve">Australian recruitment posters encouraging women into war industries presented unfamiliar employment as patriotic service. The Australian Women's Army Service, established in 1941, also enabled women to undertake roles such as driving and communications, releasing men for operational duties. These opportunities challenged assumptions that technical work belonged to men. However, recruitment propaganda demonstrates official expectations rather than proving that all women experienced liberation. Many women already worked before 1939, and wartime employment often added paid duties to continuing responsibilities for children and housework.</w:t>
      </w:r>
    </w:p>
    <w:p>
      <w:pPr>
        <w:spacing w:before="80" w:after="40"/>
      </w:pPr>
      <w:r>
        <w:rPr>
          <w:b/>
          <w:bCs/>
        </w:rPr>
        <w:t xml:space="preserve">Marking points</w:t>
      </w:r>
    </w:p>
    <w:p>
      <w:pPr>
        <w:pStyle w:val="ListParagraph"/>
        <w:numPr>
          <w:ilvl w:val="0"/>
          <w:numId w:val="1"/>
        </w:numPr>
        <w:spacing w:after="60"/>
      </w:pPr>
      <w:r>
        <w:t xml:space="preserve">Establishes a qualified position and explains how enlistment, production demands and labour shortages expanded women's work.</w:t>
      </w:r>
    </w:p>
    <w:p>
      <w:pPr>
        <w:pStyle w:val="ListParagraph"/>
        <w:numPr>
          <w:ilvl w:val="0"/>
          <w:numId w:val="1"/>
        </w:numPr>
        <w:spacing w:after="60"/>
      </w:pPr>
      <w:r>
        <w:t xml:space="preserve">Connects Australian mobilisation to Japan's entry into the war and developments in Britain.</w:t>
      </w:r>
    </w:p>
    <w:p>
      <w:pPr>
        <w:pStyle w:val="ListParagraph"/>
        <w:numPr>
          <w:ilvl w:val="0"/>
          <w:numId w:val="1"/>
        </w:numPr>
        <w:spacing w:after="60"/>
      </w:pPr>
      <w:r>
        <w:t xml:space="preserve">Uses recruitment propaganda and the Australian Women's Army Service as specific evidence, distinguishing official persuasion from evidence of universal experience.</w:t>
      </w:r>
    </w:p>
    <w:p>
      <w:pPr>
        <w:pStyle w:val="ListParagraph"/>
        <w:numPr>
          <w:ilvl w:val="0"/>
          <w:numId w:val="1"/>
        </w:numPr>
        <w:spacing w:after="60"/>
      </w:pPr>
      <w:r>
        <w:t xml:space="preserve">Identifies both occupational change and continuity in domestic responsibilities.</w:t>
      </w:r>
    </w:p>
    <w:p>
      <w:pPr>
        <w:pStyle w:val="ListParagraph"/>
        <w:numPr>
          <w:ilvl w:val="0"/>
          <w:numId w:val="1"/>
        </w:numPr>
        <w:spacing w:after="60"/>
      </w:pPr>
      <w:r>
        <w:t xml:space="preserve">Teacher assumption: the source types identified in this model were taught during the unit. No class source list was supplied; accept equivalent accurate evidence from sources actually studied, without requiring these particular examples.</w:t>
      </w:r>
    </w:p>
    <w:p>
      <w:pPr>
        <w:pStyle w:val="Heading4"/>
        <w:spacing w:before="120" w:after="80"/>
      </w:pPr>
      <w:r>
        <w:t xml:space="preserve">Section 2: Rationing, Labour Direction and Daily Choices</w:t>
      </w:r>
    </w:p>
    <w:p>
      <w:pPr>
        <w:spacing w:after="100"/>
        <w:ind w:left="0"/>
      </w:pPr>
      <w:r>
        <w:t xml:space="preserve">Rationing, Labour Direction and Daily Choices.</w:t>
      </w:r>
    </w:p>
    <w:p>
      <w:pPr>
        <w:spacing w:after="100"/>
        <w:ind w:left="0"/>
      </w:pPr>
      <w:r>
        <w:t xml:space="preserve">These expanded responsibilities were shaped by government controls over consumption and employment. Rationing introduced in 1942 limited purchases of goods including clothing, tea and sugar, helping distribute scarce supplies while resources supported the war effort. Ration books show that money alone no longer determined purchases: households also needed coupons. Women managing households had to plan meals, mend clothing and organise shopping around restrictions while some also worked factory shifts.</w:t>
      </w:r>
    </w:p>
    <w:p>
      <w:pPr>
        <w:spacing w:after="100"/>
        <w:ind w:left="0"/>
      </w:pPr>
      <w:r>
        <w:t xml:space="preserve">The National Security manpower regulations introduced in 1942 allowed authorities to direct labour and restrict workers' freedom to change jobs in controlled employment. This helped essential industries obtain workers but reduced individual choice. Read together, ration books and manpower regulations reveal how the government influenced both household consumption and the availability of labour. For women combining employment with domestic duties, mobilisation could therefore mean greater public responsibility without a corresponding reduction in unpaid work. Government intervention altered daily routines rather than simply offering new opportunities.</w:t>
      </w:r>
    </w:p>
    <w:p>
      <w:pPr>
        <w:spacing w:before="80" w:after="40"/>
      </w:pPr>
      <w:r>
        <w:rPr>
          <w:b/>
          <w:bCs/>
        </w:rPr>
        <w:t xml:space="preserve">Marking points</w:t>
      </w:r>
    </w:p>
    <w:p>
      <w:pPr>
        <w:pStyle w:val="ListParagraph"/>
        <w:numPr>
          <w:ilvl w:val="0"/>
          <w:numId w:val="1"/>
        </w:numPr>
        <w:spacing w:after="60"/>
      </w:pPr>
      <w:r>
        <w:t xml:space="preserve">Explains rationing and labour direction as connected government responses to wartime demands.</w:t>
      </w:r>
    </w:p>
    <w:p>
      <w:pPr>
        <w:pStyle w:val="ListParagraph"/>
        <w:numPr>
          <w:ilvl w:val="0"/>
          <w:numId w:val="1"/>
        </w:numPr>
        <w:spacing w:after="60"/>
      </w:pPr>
      <w:r>
        <w:t xml:space="preserve">Accurately identifies rationed goods and distinguishes purchasing power from coupon entitlement.</w:t>
      </w:r>
    </w:p>
    <w:p>
      <w:pPr>
        <w:pStyle w:val="ListParagraph"/>
        <w:numPr>
          <w:ilvl w:val="0"/>
          <w:numId w:val="1"/>
        </w:numPr>
        <w:spacing w:after="60"/>
      </w:pPr>
      <w:r>
        <w:t xml:space="preserve">Explains how manpower controls affected employment choices without suggesting that every woman was compulsorily directed into work.</w:t>
      </w:r>
    </w:p>
    <w:p>
      <w:pPr>
        <w:pStyle w:val="ListParagraph"/>
        <w:numPr>
          <w:ilvl w:val="0"/>
          <w:numId w:val="1"/>
        </w:numPr>
        <w:spacing w:after="60"/>
      </w:pPr>
      <w:r>
        <w:t xml:space="preserve">Synthesises ration books and manpower regulations to connect national economic and political decisions with shopping, household management and paid work.</w:t>
      </w:r>
    </w:p>
    <w:p>
      <w:pPr>
        <w:pStyle w:val="ListParagraph"/>
        <w:numPr>
          <w:ilvl w:val="0"/>
          <w:numId w:val="1"/>
        </w:numPr>
        <w:spacing w:after="60"/>
      </w:pPr>
      <w:r>
        <w:t xml:space="preserve">Assess source acknowledgement through names or recognisable descriptions; formal references and direct quotations are not required.</w:t>
      </w:r>
    </w:p>
    <w:p>
      <w:pPr>
        <w:pStyle w:val="Heading4"/>
        <w:spacing w:before="120" w:after="80"/>
      </w:pPr>
      <w:r>
        <w:t xml:space="preserve">Section 3: Change and Continuity Across the Home Front</w:t>
      </w:r>
    </w:p>
    <w:p>
      <w:pPr>
        <w:spacing w:after="100"/>
        <w:ind w:left="0"/>
      </w:pPr>
      <w:r>
        <w:t xml:space="preserve">Change and Continuity Across the Home Front.</w:t>
      </w:r>
    </w:p>
    <w:p>
      <w:pPr>
        <w:spacing w:after="100"/>
        <w:ind w:left="0"/>
      </w:pPr>
      <w:r>
        <w:t xml:space="preserve">The claim is convincing if transformation means a major reorganisation of everyday activities, rather than complete social equality. Factory employment and labour controls made women's work a national priority, while rationing brought government decisions into kitchens and shops. Yet these changes relied on the continuing expectation that women would manage family welfare.</w:t>
      </w:r>
    </w:p>
    <w:p>
      <w:pPr>
        <w:spacing w:after="100"/>
        <w:ind w:left="0"/>
      </w:pPr>
      <w:r>
        <w:t xml:space="preserve">A competing interpretation gives greater weight to continuity: women remained unequal, so wartime change was superficial. Women's Employment Board decisions allowing higher female wage rates in some jobs support the importance of pay inequality, since equal pay was not universal. However, this interpretation understates the significance of women entering previously male occupations and the state's increased control over work and consumption. Recruitment posters, employment measures and ration books together indicate substantial, although uneven, change. Overall, the war transformed daily routines and opportunities more decisively than it transformed underlying gender relations.</w:t>
      </w:r>
    </w:p>
    <w:p>
      <w:pPr>
        <w:spacing w:before="80" w:after="40"/>
      </w:pPr>
      <w:r>
        <w:rPr>
          <w:b/>
          <w:bCs/>
        </w:rPr>
        <w:t xml:space="preserve">Marking points</w:t>
      </w:r>
    </w:p>
    <w:p>
      <w:pPr>
        <w:pStyle w:val="ListParagraph"/>
        <w:numPr>
          <w:ilvl w:val="0"/>
          <w:numId w:val="1"/>
        </w:numPr>
        <w:spacing w:after="60"/>
      </w:pPr>
      <w:r>
        <w:t xml:space="preserve">Connects changes in women's employment and government intervention with continuity in domestic expectations.</w:t>
      </w:r>
    </w:p>
    <w:p>
      <w:pPr>
        <w:pStyle w:val="ListParagraph"/>
        <w:numPr>
          <w:ilvl w:val="0"/>
          <w:numId w:val="1"/>
        </w:numPr>
        <w:spacing w:after="60"/>
      </w:pPr>
      <w:r>
        <w:t xml:space="preserve">Critiques a plausible competing interpretation using evidence rather than merely asserting disagreement.</w:t>
      </w:r>
    </w:p>
    <w:p>
      <w:pPr>
        <w:pStyle w:val="ListParagraph"/>
        <w:numPr>
          <w:ilvl w:val="0"/>
          <w:numId w:val="1"/>
        </w:numPr>
        <w:spacing w:after="60"/>
      </w:pPr>
      <w:r>
        <w:t xml:space="preserve">Uses Women's Employment Board decisions cautiously: improved rates in some employment did not establish universal equal pay.</w:t>
      </w:r>
    </w:p>
    <w:p>
      <w:pPr>
        <w:pStyle w:val="ListParagraph"/>
        <w:numPr>
          <w:ilvl w:val="0"/>
          <w:numId w:val="1"/>
        </w:numPr>
        <w:spacing w:after="60"/>
      </w:pPr>
      <w:r>
        <w:t xml:space="preserve">Ends with a substantiated judgement distinguishing transformed routines and opportunities from continuing gender inequality. Accept other judgements supported by accurate class evidence.</w:t>
      </w:r>
    </w:p>
    <w:p>
      <w:pPr>
        <w:pStyle w:val="ListParagraph"/>
        <w:numPr>
          <w:ilvl w:val="0"/>
          <w:numId w:val="1"/>
        </w:numPr>
        <w:spacing w:after="60"/>
      </w:pPr>
      <w:r>
        <w:t xml:space="preserve">Across the complete explanation, assess the two supplied criteria equally. The model addresses multiple aspects, including employment, domestic roles, consumption, state authority and international developments, while synthesising a range of source types. Do not require every section to repeat these features.</w:t>
      </w:r>
    </w:p>
    <w:p>
      <w:pPr>
        <w:pStyle w:val="Heading3"/>
        <w:spacing w:before="200" w:after="100"/>
      </w:pPr>
      <w:r>
        <w:t xml:space="preserve">Marking Guidance</w:t>
      </w:r>
    </w:p>
    <w:p>
      <w:pPr>
        <w:spacing w:after="50"/>
        <w:ind w:left="360"/>
      </w:pPr>
      <w:r>
        <w:t xml:space="preserve">• </w:t>
      </w:r>
      <w:r>
        <w:t xml:space="preserve">Use the selected rubric for marking.</w:t>
      </w:r>
    </w:p>
    <w:p>
      <w:pPr>
        <w:spacing w:after="50"/>
        <w:ind w:left="360"/>
      </w:pPr>
      <w:r>
        <w:t xml:space="preserve">• </w:t>
      </w:r>
      <w:r>
        <w:t xml:space="preserve">Purpose: summative assessment supporting a reported A–E judgement. Apply only the supplied Knowledge and understanding and Skills criteria, weighted equally; do not create additional criteria.</w:t>
      </w:r>
    </w:p>
    <w:p>
      <w:pPr>
        <w:spacing w:after="50"/>
        <w:ind w:left="360"/>
      </w:pPr>
      <w:r>
        <w:t xml:space="preserve">• </w:t>
      </w:r>
      <w:r>
        <w:t xml:space="preserve">Reward accurate descriptions of social, cultural, economic and political aspects where relevant, including international developments, change and continuity. The task permits four or more aspects without making this an instruction.</w:t>
      </w:r>
    </w:p>
    <w:p>
      <w:pPr>
        <w:spacing w:after="50"/>
        <w:ind w:left="360"/>
      </w:pPr>
      <w:r>
        <w:t xml:space="preserve">• </w:t>
      </w:r>
      <w:r>
        <w:t xml:space="preserve">Look for one coherent explanation connecting women's wartime work, rationing and labour direction during 1939–1945, rather than three unrelated answers.</w:t>
      </w:r>
    </w:p>
    <w:p>
      <w:pPr>
        <w:spacing w:after="50"/>
        <w:ind w:left="360"/>
      </w:pPr>
      <w:r>
        <w:t xml:space="preserve">• </w:t>
      </w:r>
      <w:r>
        <w:t xml:space="preserve">Reward historical knowledge, concepts and terms used to explain relationships, synthesise recalled source evidence and substantiate an argument where interpretations differ. Source names or recognisable descriptions suffice; formal referencing is unnecessary.</w:t>
      </w:r>
    </w:p>
    <w:p>
      <w:pPr>
        <w:spacing w:after="50"/>
        <w:ind w:left="360"/>
      </w:pPr>
      <w:r>
        <w:t xml:space="preserve">• </w:t>
      </w:r>
      <w:r>
        <w:t xml:space="preserve">Teach the relevant evidence and source identities before Week 4. The assessment supplies no source materials; assess synthesis of evidence recalled from class, not quotations or bibliographic precision.</w:t>
      </w:r>
    </w:p>
    <w:p>
      <w:pPr>
        <w:pStyle w:val="Heading3"/>
        <w:spacing w:before="300" w:after="100"/>
      </w:pPr>
      <w:r>
        <w:t xml:space="preserve">Differentiation Strategies</w:t>
      </w:r>
    </w:p>
    <w:p>
      <w:pPr>
        <w:spacing w:after="50"/>
        <w:ind w:left="360"/>
      </w:pPr>
      <w:r>
        <w:t xml:space="preserve">• </w:t>
      </w:r>
      <w:r>
        <w:t xml:space="preserve">The supplied section headings, sentence starters and word allocations are the only organisational supports; no separate plan, model answer or checklist is required.</w:t>
      </w:r>
    </w:p>
    <w:p>
      <w:pPr>
        <w:spacing w:after="50"/>
        <w:ind w:left="360"/>
      </w:pPr>
      <w:r>
        <w:t xml:space="preserve">• </w:t>
      </w:r>
      <w:r>
        <w:t xml:space="preserve">Before assessment, practise connecting remembered evidence with explanations through unrelated class examples, without rehearsing an answer to this claim.</w:t>
      </w:r>
    </w:p>
    <w:p>
      <w:pPr>
        <w:spacing w:after="50"/>
        <w:ind w:left="360"/>
      </w:pPr>
      <w:r>
        <w:t xml:space="preserve">• </w:t>
      </w:r>
      <w:r>
        <w:t xml:space="preserve">Apply established access arrangements that preserve the individual written explanation, assessed demands and 50-minute session.</w:t>
      </w:r>
    </w:p>
    <w:p>
      <w:pPr>
        <w:spacing w:after="50"/>
        <w:ind w:left="360"/>
      </w:pPr>
      <w:r>
        <w:t xml:space="preserve">• </w:t>
      </w:r>
      <w:r>
        <w:t xml:space="preserve">Allow stronger responses to explore tensions between interpretations within the same word limit; do not require extra sections or research.</w:t>
      </w:r>
    </w:p>
    <w:sectPr>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2026-10-20T00:32:34.790Z</dcterms:created>
  <dcterms:modified xsi:type="dcterms:W3CDTF">2026-10-20T00:32:34.790Z</dcterms:modified>
</cp:coreProperties>
</file>

<file path=docProps/custom.xml><?xml version="1.0" encoding="utf-8"?>
<Properties xmlns="http://schemas.openxmlformats.org/officeDocument/2006/custom-properties" xmlns:vt="http://schemas.openxmlformats.org/officeDocument/2006/docPropsVTypes"/>
</file>