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00"/>
        <w:jc w:val="center"/>
      </w:pPr>
      <w:r>
        <w:t xml:space="preserve">Lesson Plan</w:t>
      </w:r>
    </w:p>
    <w:p>
      <w:pPr>
        <w:pStyle w:val="Heading1"/>
        <w:spacing w:after="400"/>
        <w:jc w:val="center"/>
      </w:pPr>
      <w:r>
        <w:t xml:space="preserve">War expands, 1941–1942: Japan, Singapore, munitions workers and the WAAAF</w:t>
      </w:r>
    </w:p>
    <w:p>
      <w:pPr>
        <w:spacing w:after="400"/>
        <w:jc w:val="center"/>
      </w:pPr>
      <w:r>
        <w:rPr>
          <w:i/>
          <w:iCs/>
          <w:color w:val="666666"/>
        </w:rPr>
        <w:t xml:space="preserve">History | Year 10 | 50 minutes</w:t>
      </w:r>
    </w:p>
    <w:p>
      <w:pPr>
        <w:spacing w:after="400"/>
        <w:jc w:val="center"/>
      </w:pPr>
      <w:r>
        <w:rPr>
          <w:color w:val="999999"/>
          <w:sz w:val="20"/>
          <w:szCs w:val="20"/>
        </w:rPr>
        <w:t xml:space="preserve">Generated by TeaCheese | 20/10/2026</w:t>
      </w:r>
    </w:p>
    <w:p>
      <w:pPr>
        <w:pStyle w:val="Heading1"/>
        <w:spacing w:before="400" w:after="200"/>
      </w:pPr>
      <w:r>
        <w:t xml:space="preserve">Achievement Standard</w:t>
      </w:r>
    </w:p>
    <w:p>
      <w:pPr>
        <w:pBdr>
          <w:left w:val="single" w:color="3B82F6" w:sz="12"/>
        </w:pBdr>
        <w:shd w:fill="F0F7FF"/>
        <w:spacing w:after="300"/>
      </w:pPr>
      <w:r>
        <w:rPr>
          <w:i/>
          <w:iCs/>
        </w:rPr>
        <w:t xml:space="preserve">They describe social, cultural, economic and/or political aspects, including international developments, related to the changes and continuities in Australian society over this historical period.
Students use historical knowledge, concepts and terms to develop descriptions, explanations and historical arguments that synthesise evidence from sources.
Content descriptors:
AC9HH10K04 — the effects of the Second World War, with a particular emphasis on the continuities and changes on the Australian home front, such as the changing roles of women and First Nations Australians, and the use of wartime government controls
AC9HH10S08 — create descriptions, explanations and historical arguments, using historical knowledge, concepts and terms that incorporate and acknowledge evidence from sources</w:t>
      </w:r>
    </w:p>
    <w:p>
      <w:pPr>
        <w:pStyle w:val="Heading1"/>
        <w:spacing w:before="400" w:after="200"/>
      </w:pPr>
      <w:r>
        <w:t xml:space="preserve">Learning Intentions</w:t>
      </w:r>
    </w:p>
    <w:p>
      <w:pPr>
        <w:spacing w:after="100"/>
      </w:pPr>
      <w:r>
        <w:t xml:space="preserve">• We are learning to connect the 1941–1942 international crisis with women's wartime work and combine acknowledged source evidence.</w:t>
      </w:r>
    </w:p>
    <w:p>
      <w:pPr>
        <w:pStyle w:val="Heading1"/>
        <w:spacing w:before="400" w:after="200"/>
      </w:pPr>
      <w:r>
        <w:t xml:space="preserve">Success Criteria</w:t>
      </w:r>
    </w:p>
    <w:p>
      <w:pPr>
        <w:spacing w:after="100"/>
      </w:pPr>
      <w:r>
        <w:t xml:space="preserve">• I can explain the sequence of Japan's entry and Singapore's fall and combine two sources to explain a development in women's work without overstating what they show.</w:t>
      </w:r>
    </w:p>
    <w:p>
      <w:pPr>
        <w:pStyle w:val="Heading1"/>
        <w:spacing w:before="400" w:after="200"/>
      </w:pPr>
      <w:r>
        <w:t xml:space="preserve">Teaching Sequence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20%"/>
            <w:shd w:fill="2E5A88" w:color="auto" w:val="clear"/>
            <w:tcMar>
              <w:top w:type="dxa" w:w="80"/>
              <w:left w:type="dxa" w:w="120"/>
              <w:bottom w:type="dxa" w:w="80"/>
              <w:right w:type="dxa" w:w="120"/>
            </w:tcMar>
          </w:tcPr>
          <w:p>
            <w:pPr>
              <w:spacing w:after="40"/>
            </w:pPr>
            <w:r>
              <w:rPr>
                <w:b/>
                <w:bCs/>
                <w:sz w:val="21"/>
                <w:szCs w:val="21"/>
              </w:rPr>
              <w:t xml:space="preserve">Phase</w:t>
            </w:r>
          </w:p>
        </w:tc>
        <w:tc>
          <w:tcPr>
            <w:tcW w:type="pct" w:w="15%"/>
            <w:shd w:fill="2E5A88" w:color="auto" w:val="clear"/>
            <w:tcMar>
              <w:top w:type="dxa" w:w="80"/>
              <w:left w:type="dxa" w:w="120"/>
              <w:bottom w:type="dxa" w:w="80"/>
              <w:right w:type="dxa" w:w="120"/>
            </w:tcMar>
          </w:tcPr>
          <w:p>
            <w:pPr>
              <w:spacing w:after="40"/>
              <w:jc w:val="center"/>
            </w:pPr>
            <w:r>
              <w:rPr>
                <w:b/>
                <w:bCs/>
                <w:sz w:val="21"/>
                <w:szCs w:val="21"/>
              </w:rPr>
              <w:t xml:space="preserve">Duration</w:t>
            </w:r>
          </w:p>
        </w:tc>
        <w:tc>
          <w:tcPr>
            <w:tcW w:type="pct" w:w="65%"/>
            <w:shd w:fill="2E5A88" w:color="auto" w:val="clear"/>
            <w:tcMar>
              <w:top w:type="dxa" w:w="80"/>
              <w:left w:type="dxa" w:w="120"/>
              <w:bottom w:type="dxa" w:w="80"/>
              <w:right w:type="dxa" w:w="120"/>
            </w:tcMar>
          </w:tcPr>
          <w:p>
            <w:pPr>
              <w:spacing w:after="40"/>
            </w:pPr>
            <w:r>
              <w:rPr>
                <w:b/>
                <w:bCs/>
                <w:sz w:val="21"/>
                <w:szCs w:val="21"/>
              </w:rPr>
              <w:t xml:space="preserve">Activity</w:t>
            </w:r>
          </w:p>
        </w:tc>
      </w:tr>
      <w:tr>
        <w:tc>
          <w:tcPr>
            <w:tcW w:type="pct" w:w="20%"/>
            <w:tcMar>
              <w:top w:type="dxa" w:w="80"/>
              <w:left w:type="dxa" w:w="120"/>
              <w:bottom w:type="dxa" w:w="80"/>
              <w:right w:type="dxa" w:w="120"/>
            </w:tcMar>
          </w:tcPr>
          <w:p>
            <w:pPr>
              <w:spacing w:after="40"/>
            </w:pPr>
            <w:r>
              <w:rPr>
                <w:b/>
                <w:bCs/>
                <w:sz w:val="21"/>
                <w:szCs w:val="21"/>
              </w:rPr>
              <w:t xml:space="preserve">Introduction</w:t>
            </w:r>
          </w:p>
        </w:tc>
        <w:tc>
          <w:tcPr>
            <w:tcW w:type="pct" w:w="15%"/>
            <w:tcMar>
              <w:top w:type="dxa" w:w="80"/>
              <w:left w:type="dxa" w:w="120"/>
              <w:bottom w:type="dxa" w:w="80"/>
              <w:right w:type="dxa" w:w="120"/>
            </w:tcMar>
          </w:tcPr>
          <w:p>
            <w:pPr>
              <w:spacing w:after="40"/>
              <w:jc w:val="center"/>
            </w:pPr>
            <w:r>
              <w:rPr>
                <w:sz w:val="21"/>
                <w:szCs w:val="21"/>
              </w:rPr>
              <w:t xml:space="preserve">(8 minutes)</w:t>
            </w:r>
          </w:p>
        </w:tc>
        <w:tc>
          <w:tcPr>
            <w:tcW w:type="pct" w:w="65%"/>
            <w:tcMar>
              <w:top w:type="dxa" w:w="80"/>
              <w:left w:type="dxa" w:w="120"/>
              <w:bottom w:type="dxa" w:w="80"/>
              <w:right w:type="dxa" w:w="120"/>
            </w:tcMar>
          </w:tcPr>
          <w:p>
            <w:pPr>
              <w:spacing w:after="40"/>
            </w:pPr>
            <w:r>
              <w:rPr>
                <w:sz w:val="21"/>
                <w:szCs w:val="21"/>
              </w:rPr>
              <w:t xml:space="preserve">• Project the claim 'Women's war work in Australia began when Japan entered the war' and ask: 'Show your hand: agree, disagree or unsure?' Students vote, then give one reason. Watch for students who say 'yes' without giving a date.</w:t>
            </w:r>
          </w:p>
          <w:p>
            <w:pPr>
              <w:spacing w:after="40"/>
            </w:pPr>
            <w:r>
              <w:rPr>
                <w:sz w:val="21"/>
                <w:szCs w:val="21"/>
              </w:rPr>
              <w:t xml:space="preserve">• Draw a three-date chronology on the board: September 1939, December 1941, February 1942. Students order the dates and place Australia's 1939 entry first. Teach that Japan's December 1941 entry increased exposure to war and demands for supplies and labour, and that the fall of Singapore in February 1942 weakened confidence in British protection. Correct the misconception in one sentence: 'Japan's entry did not start women's wartime work; the WAAAF was formed earlier in 1941, so the crisis intensified mobilisation already under way.'</w:t>
            </w:r>
          </w:p>
        </w:tc>
      </w:tr>
      <w:tr>
        <w:tc>
          <w:tcPr>
            <w:tcW w:type="pct" w:w="20%"/>
            <w:shd w:fill="F3F6FA" w:color="auto" w:val="clear"/>
            <w:tcMar>
              <w:top w:type="dxa" w:w="80"/>
              <w:left w:type="dxa" w:w="120"/>
              <w:bottom w:type="dxa" w:w="80"/>
              <w:right w:type="dxa" w:w="120"/>
            </w:tcMar>
          </w:tcPr>
          <w:p>
            <w:pPr>
              <w:spacing w:after="40"/>
            </w:pPr>
            <w:r>
              <w:rPr>
                <w:b/>
                <w:bCs/>
                <w:sz w:val="21"/>
                <w:szCs w:val="21"/>
              </w:rPr>
              <w:t xml:space="preserve">Development</w:t>
            </w:r>
          </w:p>
        </w:tc>
        <w:tc>
          <w:tcPr>
            <w:tcW w:type="pct" w:w="15%"/>
            <w:shd w:fill="F3F6FA" w:color="auto" w:val="clear"/>
            <w:tcMar>
              <w:top w:type="dxa" w:w="80"/>
              <w:left w:type="dxa" w:w="120"/>
              <w:bottom w:type="dxa" w:w="80"/>
              <w:right w:type="dxa" w:w="120"/>
            </w:tcMar>
          </w:tcPr>
          <w:p>
            <w:pPr>
              <w:spacing w:after="40"/>
              <w:jc w:val="center"/>
            </w:pPr>
            <w:r>
              <w:rPr>
                <w:sz w:val="21"/>
                <w:szCs w:val="21"/>
              </w:rPr>
              <w:t xml:space="preserve">(33 minutes)</w:t>
            </w:r>
          </w:p>
        </w:tc>
        <w:tc>
          <w:tcPr>
            <w:tcW w:type="pct" w:w="65%"/>
            <w:shd w:fill="F3F6FA" w:color="auto" w:val="clear"/>
            <w:tcMar>
              <w:top w:type="dxa" w:w="80"/>
              <w:left w:type="dxa" w:w="120"/>
              <w:bottom w:type="dxa" w:w="80"/>
              <w:right w:type="dxa" w:w="120"/>
            </w:tcMar>
          </w:tcPr>
          <w:p>
            <w:pPr>
              <w:spacing w:after="40"/>
            </w:pPr>
            <w:r>
              <w:rPr>
                <w:sz w:val="21"/>
                <w:szCs w:val="21"/>
              </w:rPr>
              <w:t xml:space="preserve">I Do: Modelled example (7 minutes)</w:t>
            </w:r>
          </w:p>
          <w:p>
            <w:pPr>
              <w:spacing w:after="40"/>
            </w:pPr>
            <w:r>
              <w:rPr>
                <w:sz w:val="21"/>
                <w:szCs w:val="21"/>
              </w:rPr>
              <w:t xml:space="preserve">Teacher demonstrates with worked example (I Do)</w:t>
            </w:r>
          </w:p>
          <w:p>
            <w:pPr>
              <w:spacing w:after="40"/>
            </w:pPr>
            <w:r>
              <w:rPr>
                <w:sz w:val="21"/>
                <w:szCs w:val="21"/>
              </w:rPr>
              <w:t xml:space="preserve">• Teach three new terms at first use: munitions (weapons, ammunition and war supplies); WAAAF (Women's Auxiliary Australian Air Force, established 1941, opening military support roles to women while keeping gendered limits on service); and labour shortage (too few workers for available jobs after men enlisted). Explain that munitions employment grew through enlistment-related labour shortages and production demands.</w:t>
            </w:r>
          </w:p>
          <w:p>
            <w:pPr>
              <w:spacing w:after="40"/>
            </w:pPr>
            <w:r>
              <w:rPr>
                <w:sz w:val="21"/>
                <w:szCs w:val="21"/>
              </w:rPr>
              <w:t xml:space="preserve">• Model a source-evidence table on the board with headings: Source | Description | Supported detail | Limitation | Explanatory use. Complete the munitions photograph row by describing only what is visible and noting that one photograph shows one workplace at one time.</w:t>
            </w:r>
          </w:p>
          <w:p>
            <w:pPr>
              <w:spacing w:after="40"/>
            </w:pPr>
            <w:r>
              <w:rPr>
                <w:sz w:val="21"/>
                <w:szCs w:val="21"/>
              </w:rPr>
              <w:t xml:space="preserve">We Do: Guided practice (13 minutes)</w:t>
            </w:r>
          </w:p>
          <w:p>
            <w:pPr>
              <w:spacing w:after="40"/>
            </w:pPr>
            <w:r>
              <w:rPr>
                <w:sz w:val="21"/>
                <w:szCs w:val="21"/>
              </w:rPr>
              <w:t xml:space="preserve">Students practise with teacher support (We Do)</w:t>
            </w:r>
          </w:p>
          <w:p>
            <w:pPr>
              <w:spacing w:after="40"/>
            </w:pPr>
            <w:r>
              <w:rPr>
                <w:sz w:val="21"/>
                <w:szCs w:val="21"/>
              </w:rPr>
              <w:t xml:space="preserve">• Pairs complete the employment table row and the WAAAF recruitment poster row on the board, using the stems 'This source supports the claim that… because…' and 'The limitation of this source is…'. Watch for pairs who treat a table or poster as proof that every woman joined or worked.</w:t>
            </w:r>
          </w:p>
          <w:p>
            <w:pPr>
              <w:spacing w:after="40"/>
            </w:pPr>
            <w:r>
              <w:rPr>
                <w:sz w:val="21"/>
                <w:szCs w:val="21"/>
              </w:rPr>
              <w:t xml:space="preserve">• Pairs write one linked sentence explaining munitions employment that names the photograph and the employment table by description. Teacher reads two pairs' sentences aloud and corrects any overstatement.</w:t>
            </w:r>
          </w:p>
          <w:p>
            <w:pPr>
              <w:spacing w:after="40"/>
            </w:pPr>
            <w:r>
              <w:rPr>
                <w:sz w:val="21"/>
                <w:szCs w:val="21"/>
              </w:rPr>
              <w:t xml:space="preserve">You Do: Independent practice (13 minutes)</w:t>
            </w:r>
          </w:p>
          <w:p>
            <w:pPr>
              <w:spacing w:after="40"/>
            </w:pPr>
            <w:r>
              <w:rPr>
                <w:sz w:val="21"/>
                <w:szCs w:val="21"/>
              </w:rPr>
              <w:t xml:space="preserve">Students apply independently (You Do)</w:t>
            </w:r>
          </w:p>
          <w:p>
            <w:pPr>
              <w:spacing w:after="40"/>
            </w:pPr>
            <w:r>
              <w:rPr>
                <w:sz w:val="21"/>
                <w:szCs w:val="21"/>
              </w:rPr>
              <w:t xml:space="preserve">• Students write, individually on classroom paper, a short two-source explanation of one munitions employment development (about 80–100 words). It must name the photograph and the employment table and state one limitation of each. Watch for claims such as 'all women' or 'the table shows the war caused the change', and sight each paper while it is written.</w:t>
            </w:r>
          </w:p>
          <w:p>
            <w:pPr>
              <w:spacing w:after="40"/>
            </w:pPr>
            <w:r>
              <w:rPr>
                <w:sz w:val="21"/>
                <w:szCs w:val="21"/>
              </w:rPr>
              <w:t xml:space="preserve">• Students keep their paper for the conclusion. Nothing is collected.</w:t>
            </w:r>
          </w:p>
        </w:tc>
      </w:tr>
      <w:tr>
        <w:tc>
          <w:tcPr>
            <w:tcW w:type="pct" w:w="20%"/>
            <w:tcMar>
              <w:top w:type="dxa" w:w="80"/>
              <w:left w:type="dxa" w:w="120"/>
              <w:bottom w:type="dxa" w:w="80"/>
              <w:right w:type="dxa" w:w="120"/>
            </w:tcMar>
          </w:tcPr>
          <w:p>
            <w:pPr>
              <w:spacing w:after="40"/>
            </w:pPr>
            <w:r>
              <w:rPr>
                <w:b/>
                <w:bCs/>
                <w:sz w:val="21"/>
                <w:szCs w:val="21"/>
              </w:rPr>
              <w:t xml:space="preserve">Conclusion</w:t>
            </w:r>
          </w:p>
        </w:tc>
        <w:tc>
          <w:tcPr>
            <w:tcW w:type="pct" w:w="15%"/>
            <w:tcMar>
              <w:top w:type="dxa" w:w="80"/>
              <w:left w:type="dxa" w:w="120"/>
              <w:bottom w:type="dxa" w:w="80"/>
              <w:right w:type="dxa" w:w="120"/>
            </w:tcMar>
          </w:tcPr>
          <w:p>
            <w:pPr>
              <w:spacing w:after="40"/>
              <w:jc w:val="center"/>
            </w:pPr>
            <w:r>
              <w:rPr>
                <w:sz w:val="21"/>
                <w:szCs w:val="21"/>
              </w:rPr>
              <w:t xml:space="preserve">(9 minutes)</w:t>
            </w:r>
          </w:p>
        </w:tc>
        <w:tc>
          <w:tcPr>
            <w:tcW w:type="pct" w:w="65%"/>
            <w:tcMar>
              <w:top w:type="dxa" w:w="80"/>
              <w:left w:type="dxa" w:w="120"/>
              <w:bottom w:type="dxa" w:w="80"/>
              <w:right w:type="dxa" w:w="120"/>
            </w:tcMar>
          </w:tcPr>
          <w:p>
            <w:pPr>
              <w:spacing w:after="40"/>
            </w:pPr>
            <w:r>
              <w:rPr>
                <w:sz w:val="21"/>
                <w:szCs w:val="21"/>
              </w:rPr>
              <w:t xml:space="preserve">• Pairs swap explanations for 3 minutes. Each partner names one acknowledged source and one claim that goes beyond what that source shows. Teacher gives spoken feedback on source acknowledgement.</w:t>
            </w:r>
          </w:p>
          <w:p>
            <w:pPr>
              <w:spacing w:after="40"/>
            </w:pPr>
            <w:r>
              <w:rPr>
                <w:sz w:val="21"/>
                <w:szCs w:val="21"/>
              </w:rPr>
              <w:t xml:space="preserve">• Students answer the hinge question on their own paper in 6 minutes: 'Does a WAAAF recruitment poster prove that women joined the WAAAF? Explain the difference between a recruitment message and evidence of participation.' Teacher sights answers while students write.</w:t>
            </w:r>
          </w:p>
        </w:tc>
      </w:tr>
    </w:tbl>
    <w:p>
      <w:pPr>
        <w:spacing w:after="200"/>
      </w:pPr>
    </w:p>
    <w:p>
      <w:pPr>
        <w:pStyle w:val="Heading1"/>
        <w:spacing w:before="400" w:after="200"/>
      </w:pPr>
      <w:r>
        <w:t xml:space="preserve">Resources</w:t>
      </w:r>
    </w:p>
    <w:p>
      <w:pPr>
        <w:spacing w:after="50"/>
      </w:pPr>
      <w:r>
        <w:t xml:space="preserve">• Board for the three-date chronology, the source-evidence table headings and the sentence stems 'This source supports the claim that… because…' and 'The limitation of this source is…'.</w:t>
      </w:r>
    </w:p>
    <w:p>
      <w:pPr>
        <w:spacing w:after="50"/>
      </w:pPr>
      <w:r>
        <w:t xml:space="preserve">• Projector and teacher laptop showing the existing primary source pack items: the munitions photograph, the wartime employment table and the WAAAF recruitment poster.</w:t>
      </w:r>
    </w:p>
    <w:p>
      <w:pPr>
        <w:spacing w:after="50"/>
      </w:pPr>
      <w:r>
        <w:t xml:space="preserve">• Classroom paper and writing tools; students keep their own paper. No printing, devices or additional equipment.</w:t>
      </w:r>
    </w:p>
    <w:p>
      <w:pPr>
        <w:pStyle w:val="Heading1"/>
        <w:spacing w:before="400" w:after="200"/>
      </w:pPr>
      <w:r>
        <w:t xml:space="preserve">Differentiation</w:t>
      </w:r>
    </w:p>
    <w:p>
      <w:pPr>
        <w:spacing w:after="100"/>
      </w:pPr>
      <w:r>
        <w:rPr>
          <w:b/>
          <w:bCs/>
        </w:rPr>
        <w:t xml:space="preserve">Support:</w:t>
      </w:r>
    </w:p>
    <w:p>
      <w:pPr>
        <w:spacing w:after="50"/>
      </w:pPr>
      <w:r>
        <w:t xml:space="preserve">• Read the employment table and poster text aloud, and explain munitions, WAAAF and labour shortage at first use.</w:t>
      </w:r>
    </w:p>
    <w:p>
      <w:pPr>
        <w:spacing w:after="50"/>
      </w:pPr>
      <w:r>
        <w:t xml:space="preserve">• Provide the board chronology and table headings, with stems 'Before 1939…' and 'This source supports…' written on the board for students to copy.</w:t>
      </w:r>
    </w:p>
    <w:p>
      <w:pPr>
        <w:spacing w:before="100" w:after="100"/>
      </w:pPr>
      <w:r>
        <w:rPr>
          <w:b/>
          <w:bCs/>
        </w:rPr>
        <w:t xml:space="preserve">Extension:</w:t>
      </w:r>
    </w:p>
    <w:p>
      <w:pPr>
        <w:spacing w:after="50"/>
      </w:pPr>
      <w:r>
        <w:t xml:space="preserve">• Ask students to explain why a recruitment poster and an employment table answer different historical questions.</w:t>
      </w:r>
    </w:p>
    <w:p>
      <w:pPr>
        <w:spacing w:after="50"/>
      </w:pPr>
      <w:r>
        <w:t xml:space="preserve">• Ask students to distinguish the WAAAF's establishment in 1941 from the later intensification of its wartime role.</w:t>
      </w:r>
    </w:p>
    <w:p>
      <w:pPr>
        <w:pStyle w:val="Heading1"/>
        <w:spacing w:before="400" w:after="200"/>
      </w:pPr>
      <w:r>
        <w:t xml:space="preserve">Exit Ticket</w:t>
      </w:r>
    </w:p>
    <w:p>
      <w:pPr>
        <w:shd w:fill="FFF8E7"/>
        <w:spacing w:after="200"/>
      </w:pPr>
      <w:r>
        <w:t xml:space="preserve">Hinge question on own paper: 'Does a WAAAF recruitment poster prove that women joined the WAAAF? Explain the difference between a recruitment message and evidence of participation.'</w:t>
      </w:r>
    </w:p>
    <w:p>
      <w:pPr>
        <w:pStyle w:val="Heading1"/>
        <w:spacing w:before="400" w:after="200"/>
      </w:pPr>
      <w:r>
        <w:t xml:space="preserve">Lesson quality: review these points</w:t>
      </w:r>
    </w:p>
    <w:p>
      <w:pPr>
        <w:spacing w:after="50"/>
      </w:pPr>
      <w:r>
        <w:t xml:space="preserve">• The munitions photograph, wartime employment table and WAAAF recruitment poster are named, but their images, text, figures and identifying details are not supplied. Consequently, the table's employment trend and the sources' suitability for the required two-source explanation cannot be verified. The lesson also does not explicitly identify locating and checking these particular items as teacher preparation. Add explicit teacher preparation to locate and identify the actual three items in the existing source packs, verify their content and readability, and prepare their projection. Supply the employment table in full and provide the actual photograph and poster or precise pack references. Check that the photograph and table support a common employment development; do not invent missing source details.</w:t>
      </w:r>
    </w:p>
    <w:p>
      <w:pPr>
        <w:spacing w:after="50"/>
      </w:pPr>
      <w:r>
        <w:t xml:space="preserve">• The stated focus requires modelling how to combine and acknowledge source evidence, but the teacher model only completes a single-source photograph row. Students are then asked to produce the first linked two-source sentence themselves. Completing separate source-analysis rows does not demonstrate synthesis. After analysing the actual photograph and employment table, model a short linked explanation that acknowledges both sources, explains their complementary contributions and stays within their evidential limits. Use verified details from the existing pack, then let pairs practise a different formulation.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2026-10-20T00:40:25.633Z</dcterms:created>
  <dcterms:modified xsi:type="dcterms:W3CDTF">2026-10-20T00:40:25.633Z</dcterms:modified>
</cp:coreProperties>
</file>

<file path=docProps/custom.xml><?xml version="1.0" encoding="utf-8"?>
<Properties xmlns="http://schemas.openxmlformats.org/officeDocument/2006/custom-properties" xmlns:vt="http://schemas.openxmlformats.org/officeDocument/2006/docPropsVTypes"/>
</file>